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0D" w:rsidRDefault="00D83B4B" w:rsidP="00A66941">
      <w:pPr>
        <w:ind w:right="419"/>
        <w:rPr>
          <w:b/>
          <w:color w:val="AF272F"/>
          <w:sz w:val="36"/>
          <w:szCs w:val="44"/>
        </w:rPr>
      </w:pPr>
      <w:r>
        <w:rPr>
          <w:noProof/>
          <w:lang w:val="en-AU" w:eastAsia="en-AU"/>
        </w:rPr>
        <w:drawing>
          <wp:anchor distT="0" distB="0" distL="114300" distR="114300" simplePos="0" relativeHeight="251662336" behindDoc="1" locked="0" layoutInCell="1" allowOverlap="1">
            <wp:simplePos x="0" y="0"/>
            <wp:positionH relativeFrom="column">
              <wp:posOffset>4791075</wp:posOffset>
            </wp:positionH>
            <wp:positionV relativeFrom="paragraph">
              <wp:posOffset>24130</wp:posOffset>
            </wp:positionV>
            <wp:extent cx="1854835" cy="627380"/>
            <wp:effectExtent l="0" t="0" r="0" b="1270"/>
            <wp:wrapNone/>
            <wp:docPr id="3" name="img9.png"/>
            <wp:cNvGraphicFramePr/>
            <a:graphic xmlns:a="http://schemas.openxmlformats.org/drawingml/2006/main">
              <a:graphicData uri="http://schemas.openxmlformats.org/drawingml/2006/picture">
                <pic:pic xmlns:pic="http://schemas.openxmlformats.org/drawingml/2006/picture">
                  <pic:nvPicPr>
                    <pic:cNvPr id="7" name="img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4835" cy="627380"/>
                    </a:xfrm>
                    <a:prstGeom prst="rect">
                      <a:avLst/>
                    </a:prstGeom>
                  </pic:spPr>
                </pic:pic>
              </a:graphicData>
            </a:graphic>
          </wp:anchor>
        </w:drawing>
      </w:r>
      <w:r w:rsidRPr="003E2621">
        <w:rPr>
          <w:b/>
          <w:noProof/>
          <w:color w:val="AF272F"/>
          <w:sz w:val="36"/>
          <w:szCs w:val="36"/>
        </w:rPr>
        <w:t>2019</w:t>
      </w:r>
      <w:r>
        <w:rPr>
          <w:b/>
          <w:color w:val="AF272F"/>
          <w:sz w:val="36"/>
          <w:szCs w:val="36"/>
        </w:rPr>
        <w:t xml:space="preserve"> </w:t>
      </w:r>
      <w:r w:rsidRPr="003E2621">
        <w:rPr>
          <w:b/>
          <w:color w:val="AF272F"/>
          <w:sz w:val="36"/>
          <w:szCs w:val="44"/>
        </w:rPr>
        <w:t xml:space="preserve">Annual </w:t>
      </w:r>
      <w:r>
        <w:rPr>
          <w:b/>
          <w:color w:val="AF272F"/>
          <w:sz w:val="36"/>
          <w:szCs w:val="44"/>
        </w:rPr>
        <w:t>Report to</w:t>
      </w:r>
    </w:p>
    <w:p w:rsidR="00B076DB" w:rsidRDefault="00D83B4B" w:rsidP="00A66941">
      <w:pPr>
        <w:ind w:right="419"/>
        <w:rPr>
          <w:color w:val="595959" w:themeColor="text1" w:themeTint="A6"/>
          <w:sz w:val="28"/>
          <w:szCs w:val="28"/>
        </w:rPr>
      </w:pPr>
      <w:r>
        <w:rPr>
          <w:noProof/>
          <w:lang w:val="en-AU" w:eastAsia="en-AU"/>
        </w:rPr>
        <mc:AlternateContent>
          <mc:Choice Requires="wps">
            <w:drawing>
              <wp:anchor distT="0" distB="0" distL="114300" distR="114300" simplePos="0" relativeHeight="251659264" behindDoc="0" locked="0" layoutInCell="1" allowOverlap="1">
                <wp:simplePos x="0" y="0"/>
                <wp:positionH relativeFrom="margin">
                  <wp:posOffset>-71120</wp:posOffset>
                </wp:positionH>
                <wp:positionV relativeFrom="paragraph">
                  <wp:posOffset>2662250</wp:posOffset>
                </wp:positionV>
                <wp:extent cx="7147560" cy="52793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527939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53212E" w:rsidTr="00130771">
                              <w:trPr>
                                <w:trHeight w:val="18"/>
                              </w:trPr>
                              <w:tc>
                                <w:tcPr>
                                  <w:tcW w:w="10773" w:type="dxa"/>
                                  <w:vAlign w:val="center"/>
                                </w:tcPr>
                                <w:p w:rsidR="00B576DE" w:rsidRPr="009D4C10" w:rsidRDefault="00D83B4B" w:rsidP="007C1665">
                                  <w:pPr>
                                    <w:numPr>
                                      <w:ilvl w:val="0"/>
                                      <w:numId w:val="25"/>
                                    </w:numPr>
                                    <w:spacing w:after="0" w:line="240" w:lineRule="auto"/>
                                    <w:ind w:left="301"/>
                                  </w:pPr>
                                  <w:r w:rsidRPr="009D4C10">
                                    <w:t>All teachers at the school meet the registration requirements of the Victorian Institute of Teaching (</w:t>
                                  </w:r>
                                  <w:hyperlink r:id="rId13" w:tgtFrame="_blank" w:history="1">
                                    <w:r w:rsidRPr="009D4C10">
                                      <w:rPr>
                                        <w:rStyle w:val="Hyperlink"/>
                                      </w:rPr>
                                      <w:t>www.vit.vic.edu.au</w:t>
                                    </w:r>
                                  </w:hyperlink>
                                  <w:r w:rsidRPr="009D4C10">
                                    <w:t>).</w:t>
                                  </w:r>
                                </w:p>
                                <w:p w:rsidR="00B576DE" w:rsidRPr="009D4C10" w:rsidRDefault="00D83B4B"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w:t>
                                  </w:r>
                                  <w:r w:rsidRPr="003E03A7">
                                    <w:rPr>
                                      <w:i/>
                                      <w:iCs/>
                                    </w:rPr>
                                    <w:t>Education and Training Reform (ETR) Act 2006</w:t>
                                  </w:r>
                                  <w:r w:rsidRPr="009D4C10">
                                    <w:t>. This includes schools granted an exemption by</w:t>
                                  </w:r>
                                  <w:r w:rsidRPr="009D4C10">
                                    <w:t xml:space="preserve"> the VRQA until 31 December </w:t>
                                  </w:r>
                                  <w:r w:rsidRPr="00875D00">
                                    <w:rPr>
                                      <w:noProof/>
                                    </w:rPr>
                                    <w:t>2019</w:t>
                                  </w:r>
                                  <w:r w:rsidRPr="00875D00">
                                    <w:t xml:space="preserve"> from</w:t>
                                  </w:r>
                                  <w:r w:rsidRPr="009D4C10">
                                    <w:t xml:space="preserve"> the minimum standards for student enrolment numbers and/or curriculum framework for school language program.</w:t>
                                  </w:r>
                                </w:p>
                                <w:p w:rsidR="00B576DE" w:rsidRDefault="00D83B4B" w:rsidP="007C1665">
                                  <w:pPr>
                                    <w:numPr>
                                      <w:ilvl w:val="0"/>
                                      <w:numId w:val="25"/>
                                    </w:numPr>
                                    <w:spacing w:after="0" w:line="240" w:lineRule="auto"/>
                                    <w:ind w:left="301"/>
                                    <w:rPr>
                                      <w:color w:val="333333"/>
                                      <w:sz w:val="16"/>
                                      <w:szCs w:val="16"/>
                                    </w:rPr>
                                  </w:pPr>
                                  <w:r w:rsidRPr="009D4C10">
                                    <w:t xml:space="preserve">The school is compliant with the Child Safe Standards prescribed in </w:t>
                                  </w:r>
                                  <w:r w:rsidRPr="00BB2D86">
                                    <w:rPr>
                                      <w:i/>
                                      <w:iCs/>
                                    </w:rPr>
                                    <w:t>Ministerial Order No. 870 – Child Safe St</w:t>
                                  </w:r>
                                  <w:r w:rsidRPr="00BB2D86">
                                    <w:rPr>
                                      <w:i/>
                                      <w:iCs/>
                                    </w:rPr>
                                    <w:t>andards, Managing Risk of Child Abuse in School</w:t>
                                  </w:r>
                                  <w:r>
                                    <w:t>.</w:t>
                                  </w:r>
                                </w:p>
                              </w:tc>
                            </w:tr>
                            <w:tr w:rsidR="0053212E" w:rsidTr="00130771">
                              <w:trPr>
                                <w:trHeight w:val="48"/>
                              </w:trPr>
                              <w:tc>
                                <w:tcPr>
                                  <w:tcW w:w="10773" w:type="dxa"/>
                                </w:tcPr>
                                <w:p w:rsidR="00B576DE" w:rsidRDefault="00D83B4B"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30 June 2020 at 03:11 PM by Marilyn Koolstra (Principal)</w:t>
                                  </w:r>
                                </w:p>
                              </w:tc>
                            </w:tr>
                          </w:tbl>
                          <w:p w:rsidR="00B576DE" w:rsidRDefault="00D83B4B"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53212E" w:rsidTr="00130771">
                              <w:trPr>
                                <w:trHeight w:val="114"/>
                              </w:trPr>
                              <w:tc>
                                <w:tcPr>
                                  <w:tcW w:w="10773" w:type="dxa"/>
                                  <w:vAlign w:val="center"/>
                                </w:tcPr>
                                <w:p w:rsidR="00B576DE" w:rsidRPr="00B576DE" w:rsidRDefault="00D83B4B" w:rsidP="00B576DE">
                                  <w:pPr>
                                    <w:spacing w:after="0" w:line="240" w:lineRule="auto"/>
                                  </w:pPr>
                                  <w:r w:rsidRPr="00B576DE">
                                    <w:t>The</w:t>
                                  </w:r>
                                  <w:r w:rsidRPr="009D4C10">
                                    <w:t xml:space="preserve"> </w:t>
                                  </w:r>
                                  <w:r w:rsidRPr="00875D00">
                                    <w:rPr>
                                      <w:noProof/>
                                    </w:rPr>
                                    <w:t>2019</w:t>
                                  </w:r>
                                  <w:r w:rsidRPr="00875D00">
                                    <w:t xml:space="preserve"> </w:t>
                                  </w:r>
                                  <w:r w:rsidRPr="00B576DE">
                                    <w:t>Annual Report to the school community:</w:t>
                                  </w:r>
                                </w:p>
                                <w:p w:rsidR="00B576DE" w:rsidRPr="009D4C10" w:rsidRDefault="00D83B4B" w:rsidP="007C1665">
                                  <w:pPr>
                                    <w:numPr>
                                      <w:ilvl w:val="0"/>
                                      <w:numId w:val="26"/>
                                    </w:numPr>
                                    <w:spacing w:after="0" w:line="240" w:lineRule="auto"/>
                                    <w:ind w:left="301"/>
                                    <w:rPr>
                                      <w:color w:val="333333"/>
                                    </w:rPr>
                                  </w:pPr>
                                  <w:r w:rsidRPr="00B576DE">
                                    <w:rPr>
                                      <w:color w:val="333333"/>
                                    </w:rPr>
                                    <w:t>has been tabled and endorsed at a meeting of the school council</w:t>
                                  </w:r>
                                </w:p>
                                <w:p w:rsidR="00B576DE" w:rsidRDefault="00D83B4B" w:rsidP="007C1665">
                                  <w:pPr>
                                    <w:numPr>
                                      <w:ilvl w:val="0"/>
                                      <w:numId w:val="26"/>
                                    </w:numPr>
                                    <w:spacing w:after="0" w:line="240" w:lineRule="auto"/>
                                    <w:ind w:left="301"/>
                                    <w:rPr>
                                      <w:color w:val="333333"/>
                                      <w:sz w:val="16"/>
                                      <w:szCs w:val="16"/>
                                    </w:rPr>
                                  </w:pPr>
                                  <w:r w:rsidRPr="00B576DE">
                                    <w:rPr>
                                      <w:color w:val="333333"/>
                                    </w:rPr>
                                    <w:t>will be publicly shared</w:t>
                                  </w:r>
                                  <w:r w:rsidRPr="00B576DE">
                                    <w:rPr>
                                      <w:color w:val="333333"/>
                                    </w:rPr>
                                    <w:t xml:space="preserve"> with the school community</w:t>
                                  </w:r>
                                  <w:r>
                                    <w:rPr>
                                      <w:color w:val="333333"/>
                                    </w:rPr>
                                    <w:t>.</w:t>
                                  </w:r>
                                </w:p>
                              </w:tc>
                            </w:tr>
                            <w:tr w:rsidR="0053212E" w:rsidTr="00130771">
                              <w:trPr>
                                <w:trHeight w:val="274"/>
                              </w:trPr>
                              <w:tc>
                                <w:tcPr>
                                  <w:tcW w:w="10773" w:type="dxa"/>
                                </w:tcPr>
                                <w:p w:rsidR="00B576DE" w:rsidRDefault="00D83B4B"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To be attested by School Council President</w:t>
                                  </w:r>
                                </w:p>
                              </w:tc>
                            </w:tr>
                          </w:tbl>
                          <w:p w:rsidR="00B576DE" w:rsidRDefault="00D83B4B" w:rsidP="00177D7F"/>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pt;margin-top:209.65pt;width:562.8pt;height:415.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" filled="f" fillcolor="white [3201]" stroked="f" strokeweight=".5pt">
                <v:textbo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53212E" w:rsidTr="00130771">
                        <w:trPr>
                          <w:trHeight w:val="18"/>
                        </w:trPr>
                        <w:tc>
                          <w:tcPr>
                            <w:tcW w:w="10773" w:type="dxa"/>
                            <w:vAlign w:val="center"/>
                          </w:tcPr>
                          <w:p w:rsidR="00B576DE" w:rsidRPr="009D4C10" w:rsidRDefault="00D83B4B" w:rsidP="007C1665">
                            <w:pPr>
                              <w:numPr>
                                <w:ilvl w:val="0"/>
                                <w:numId w:val="25"/>
                              </w:numPr>
                              <w:spacing w:after="0" w:line="240" w:lineRule="auto"/>
                              <w:ind w:left="301"/>
                            </w:pPr>
                            <w:r w:rsidRPr="009D4C10">
                              <w:t>All teachers at the school meet the registration requirements of the Victorian Institute of Teaching (</w:t>
                            </w:r>
                            <w:hyperlink r:id="rId14" w:tgtFrame="_blank" w:history="1">
                              <w:r w:rsidRPr="009D4C10">
                                <w:rPr>
                                  <w:rStyle w:val="Hyperlink"/>
                                </w:rPr>
                                <w:t>www.vit.vic.edu.au</w:t>
                              </w:r>
                            </w:hyperlink>
                            <w:r w:rsidRPr="009D4C10">
                              <w:t>).</w:t>
                            </w:r>
                          </w:p>
                          <w:p w:rsidR="00B576DE" w:rsidRPr="009D4C10" w:rsidRDefault="00D83B4B"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w:t>
                            </w:r>
                            <w:r w:rsidRPr="003E03A7">
                              <w:rPr>
                                <w:i/>
                                <w:iCs/>
                              </w:rPr>
                              <w:t>Education and Training Reform (ETR) Act 2006</w:t>
                            </w:r>
                            <w:r w:rsidRPr="009D4C10">
                              <w:t>. This includes schools granted an exemption by</w:t>
                            </w:r>
                            <w:r w:rsidRPr="009D4C10">
                              <w:t xml:space="preserve"> the VRQA until 31 December </w:t>
                            </w:r>
                            <w:r w:rsidRPr="00875D00">
                              <w:rPr>
                                <w:noProof/>
                              </w:rPr>
                              <w:t>2019</w:t>
                            </w:r>
                            <w:r w:rsidRPr="00875D00">
                              <w:t xml:space="preserve"> from</w:t>
                            </w:r>
                            <w:r w:rsidRPr="009D4C10">
                              <w:t xml:space="preserve"> the minimum standards for student enrolment numbers and/or curriculum framework for school language program.</w:t>
                            </w:r>
                          </w:p>
                          <w:p w:rsidR="00B576DE" w:rsidRDefault="00D83B4B" w:rsidP="007C1665">
                            <w:pPr>
                              <w:numPr>
                                <w:ilvl w:val="0"/>
                                <w:numId w:val="25"/>
                              </w:numPr>
                              <w:spacing w:after="0" w:line="240" w:lineRule="auto"/>
                              <w:ind w:left="301"/>
                              <w:rPr>
                                <w:color w:val="333333"/>
                                <w:sz w:val="16"/>
                                <w:szCs w:val="16"/>
                              </w:rPr>
                            </w:pPr>
                            <w:r w:rsidRPr="009D4C10">
                              <w:t xml:space="preserve">The school is compliant with the Child Safe Standards prescribed in </w:t>
                            </w:r>
                            <w:r w:rsidRPr="00BB2D86">
                              <w:rPr>
                                <w:i/>
                                <w:iCs/>
                              </w:rPr>
                              <w:t>Ministerial Order No. 870 – Child Safe St</w:t>
                            </w:r>
                            <w:r w:rsidRPr="00BB2D86">
                              <w:rPr>
                                <w:i/>
                                <w:iCs/>
                              </w:rPr>
                              <w:t>andards, Managing Risk of Child Abuse in School</w:t>
                            </w:r>
                            <w:r>
                              <w:t>.</w:t>
                            </w:r>
                          </w:p>
                        </w:tc>
                      </w:tr>
                      <w:tr w:rsidR="0053212E" w:rsidTr="00130771">
                        <w:trPr>
                          <w:trHeight w:val="48"/>
                        </w:trPr>
                        <w:tc>
                          <w:tcPr>
                            <w:tcW w:w="10773" w:type="dxa"/>
                          </w:tcPr>
                          <w:p w:rsidR="00B576DE" w:rsidRDefault="00D83B4B"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30 June 2020 at 03:11 PM by Marilyn Koolstra (Principal)</w:t>
                            </w:r>
                          </w:p>
                        </w:tc>
                      </w:tr>
                    </w:tbl>
                    <w:p w:rsidR="00B576DE" w:rsidRDefault="00D83B4B"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53212E" w:rsidTr="00130771">
                        <w:trPr>
                          <w:trHeight w:val="114"/>
                        </w:trPr>
                        <w:tc>
                          <w:tcPr>
                            <w:tcW w:w="10773" w:type="dxa"/>
                            <w:vAlign w:val="center"/>
                          </w:tcPr>
                          <w:p w:rsidR="00B576DE" w:rsidRPr="00B576DE" w:rsidRDefault="00D83B4B" w:rsidP="00B576DE">
                            <w:pPr>
                              <w:spacing w:after="0" w:line="240" w:lineRule="auto"/>
                            </w:pPr>
                            <w:r w:rsidRPr="00B576DE">
                              <w:t>The</w:t>
                            </w:r>
                            <w:r w:rsidRPr="009D4C10">
                              <w:t xml:space="preserve"> </w:t>
                            </w:r>
                            <w:r w:rsidRPr="00875D00">
                              <w:rPr>
                                <w:noProof/>
                              </w:rPr>
                              <w:t>2019</w:t>
                            </w:r>
                            <w:r w:rsidRPr="00875D00">
                              <w:t xml:space="preserve"> </w:t>
                            </w:r>
                            <w:r w:rsidRPr="00B576DE">
                              <w:t>Annual Report to the school community:</w:t>
                            </w:r>
                          </w:p>
                          <w:p w:rsidR="00B576DE" w:rsidRPr="009D4C10" w:rsidRDefault="00D83B4B" w:rsidP="007C1665">
                            <w:pPr>
                              <w:numPr>
                                <w:ilvl w:val="0"/>
                                <w:numId w:val="26"/>
                              </w:numPr>
                              <w:spacing w:after="0" w:line="240" w:lineRule="auto"/>
                              <w:ind w:left="301"/>
                              <w:rPr>
                                <w:color w:val="333333"/>
                              </w:rPr>
                            </w:pPr>
                            <w:r w:rsidRPr="00B576DE">
                              <w:rPr>
                                <w:color w:val="333333"/>
                              </w:rPr>
                              <w:t>has been tabled and endorsed at a meeting of the school council</w:t>
                            </w:r>
                          </w:p>
                          <w:p w:rsidR="00B576DE" w:rsidRDefault="00D83B4B" w:rsidP="007C1665">
                            <w:pPr>
                              <w:numPr>
                                <w:ilvl w:val="0"/>
                                <w:numId w:val="26"/>
                              </w:numPr>
                              <w:spacing w:after="0" w:line="240" w:lineRule="auto"/>
                              <w:ind w:left="301"/>
                              <w:rPr>
                                <w:color w:val="333333"/>
                                <w:sz w:val="16"/>
                                <w:szCs w:val="16"/>
                              </w:rPr>
                            </w:pPr>
                            <w:r w:rsidRPr="00B576DE">
                              <w:rPr>
                                <w:color w:val="333333"/>
                              </w:rPr>
                              <w:t>will be publicly shared</w:t>
                            </w:r>
                            <w:r w:rsidRPr="00B576DE">
                              <w:rPr>
                                <w:color w:val="333333"/>
                              </w:rPr>
                              <w:t xml:space="preserve"> with the school community</w:t>
                            </w:r>
                            <w:r>
                              <w:rPr>
                                <w:color w:val="333333"/>
                              </w:rPr>
                              <w:t>.</w:t>
                            </w:r>
                          </w:p>
                        </w:tc>
                      </w:tr>
                      <w:tr w:rsidR="0053212E" w:rsidTr="00130771">
                        <w:trPr>
                          <w:trHeight w:val="274"/>
                        </w:trPr>
                        <w:tc>
                          <w:tcPr>
                            <w:tcW w:w="10773" w:type="dxa"/>
                          </w:tcPr>
                          <w:p w:rsidR="00B576DE" w:rsidRDefault="00D83B4B"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To be attested by School Council President</w:t>
                            </w:r>
                          </w:p>
                        </w:tc>
                      </w:tr>
                    </w:tbl>
                    <w:p w:rsidR="00B576DE" w:rsidRDefault="00D83B4B" w:rsidP="00177D7F"/>
                  </w:txbxContent>
                </v:textbox>
                <w10:wrap anchorx="margin"/>
              </v:shape>
            </w:pict>
          </mc:Fallback>
        </mc:AlternateContent>
      </w:r>
      <w:r w:rsidRPr="00BE480F">
        <w:rPr>
          <w:noProof/>
          <w:lang w:val="en-AU" w:eastAsia="en-AU"/>
        </w:rPr>
        <w:drawing>
          <wp:anchor distT="0" distB="0" distL="114300" distR="114300" simplePos="0" relativeHeight="251661312" behindDoc="1" locked="0" layoutInCell="1" allowOverlap="1">
            <wp:simplePos x="0" y="0"/>
            <wp:positionH relativeFrom="margin">
              <wp:posOffset>-354965</wp:posOffset>
            </wp:positionH>
            <wp:positionV relativeFrom="paragraph">
              <wp:posOffset>5173345</wp:posOffset>
            </wp:positionV>
            <wp:extent cx="1819275" cy="4406265"/>
            <wp:effectExtent l="0" t="0" r="9525" b="0"/>
            <wp:wrapNone/>
            <wp:docPr id="5" name="img10.png"/>
            <wp:cNvGraphicFramePr/>
            <a:graphic xmlns:a="http://schemas.openxmlformats.org/drawingml/2006/main">
              <a:graphicData uri="http://schemas.openxmlformats.org/drawingml/2006/picture">
                <pic:pic xmlns:pic="http://schemas.openxmlformats.org/drawingml/2006/picture">
                  <pic:nvPicPr>
                    <pic:cNvPr id="9" name="img1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19275" cy="4406265"/>
                    </a:xfrm>
                    <a:prstGeom prst="rect">
                      <a:avLst/>
                    </a:prstGeom>
                  </pic:spPr>
                </pic:pic>
              </a:graphicData>
            </a:graphic>
          </wp:anchor>
        </w:drawing>
      </w:r>
      <w:r>
        <w:rPr>
          <w:b/>
          <w:color w:val="AF272F"/>
          <w:sz w:val="36"/>
          <w:szCs w:val="44"/>
        </w:rPr>
        <w:t>The School Community</w:t>
      </w:r>
      <w:r>
        <w:rPr>
          <w:b/>
          <w:color w:val="AF272F"/>
          <w:sz w:val="36"/>
          <w:szCs w:val="44"/>
        </w:rPr>
        <w:br/>
      </w:r>
      <w:r>
        <w:rPr>
          <w:b/>
          <w:color w:val="AF272F"/>
          <w:sz w:val="32"/>
          <w:szCs w:val="32"/>
        </w:rPr>
        <w:br/>
      </w:r>
      <w:r w:rsidRPr="009B22B6">
        <w:rPr>
          <w:b/>
          <w:noProof/>
          <w:color w:val="AF272F"/>
          <w:sz w:val="28"/>
          <w:szCs w:val="28"/>
        </w:rPr>
        <w:t>School</w:t>
      </w:r>
      <w:r w:rsidRPr="009B22B6">
        <w:rPr>
          <w:b/>
          <w:noProof/>
          <w:color w:val="AF272F"/>
          <w:sz w:val="28"/>
          <w:szCs w:val="28"/>
        </w:rPr>
        <w:t xml:space="preserve"> </w:t>
      </w:r>
      <w:r w:rsidRPr="009B22B6">
        <w:rPr>
          <w:b/>
          <w:noProof/>
          <w:color w:val="AF272F"/>
          <w:sz w:val="28"/>
          <w:szCs w:val="28"/>
        </w:rPr>
        <w:t xml:space="preserve">Name: </w:t>
      </w:r>
      <w:r w:rsidRPr="009B22B6">
        <w:rPr>
          <w:b/>
          <w:noProof/>
          <w:color w:val="AF272F"/>
          <w:sz w:val="28"/>
          <w:szCs w:val="28"/>
        </w:rPr>
        <w:t>Valkstone Primary School (4778)</w:t>
      </w:r>
      <w:r>
        <w:rPr>
          <w:color w:val="595959" w:themeColor="text1" w:themeTint="A6"/>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946"/>
      </w:tblGrid>
      <w:tr w:rsidR="0053212E" w:rsidTr="00130771">
        <w:trPr>
          <w:trHeight w:val="11387"/>
        </w:trPr>
        <w:tc>
          <w:tcPr>
            <w:tcW w:w="3544" w:type="dxa"/>
          </w:tcPr>
          <w:p w:rsidR="00BE480F" w:rsidRPr="00BE480F" w:rsidRDefault="00D83B4B" w:rsidP="00A074DE">
            <w:pPr>
              <w:ind w:left="-509" w:right="419"/>
              <w:jc w:val="center"/>
              <w:rPr>
                <w:color w:val="595959" w:themeColor="text1" w:themeTint="A6"/>
              </w:rPr>
            </w:pPr>
            <w:r>
              <w:rPr>
                <w:noProof/>
                <w:color w:val="595959" w:themeColor="text1" w:themeTint="A6"/>
                <w:lang w:val="en-AU" w:eastAsia="en-AU"/>
              </w:rPr>
              <w:drawing>
                <wp:anchor distT="0" distB="0" distL="114300" distR="114300" simplePos="0" relativeHeight="251660288" behindDoc="1" locked="0" layoutInCell="1" allowOverlap="1">
                  <wp:simplePos x="0" y="0"/>
                  <wp:positionH relativeFrom="page">
                    <wp:align>left</wp:align>
                  </wp:positionH>
                  <wp:positionV relativeFrom="paragraph">
                    <wp:posOffset>0</wp:posOffset>
                  </wp:positionV>
                  <wp:extent cx="1143160" cy="1428949"/>
                  <wp:effectExtent l="0" t="0" r="0" b="0"/>
                  <wp:wrapNone/>
                  <wp:docPr id="100020" name="Picture 100020"/>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r:embed="rId16"/>
                          <a:stretch>
                            <a:fillRect/>
                          </a:stretch>
                        </pic:blipFill>
                        <pic:spPr>
                          <a:xfrm>
                            <a:off x="0" y="0"/>
                            <a:ext cx="1143160" cy="1428949"/>
                          </a:xfrm>
                          <a:prstGeom prst="rect">
                            <a:avLst/>
                          </a:prstGeom>
                        </pic:spPr>
                      </pic:pic>
                    </a:graphicData>
                  </a:graphic>
                </wp:anchor>
              </w:drawing>
            </w:r>
          </w:p>
        </w:tc>
        <w:tc>
          <w:tcPr>
            <w:tcW w:w="6946" w:type="dxa"/>
          </w:tcPr>
          <w:p w:rsidR="00BE480F" w:rsidRDefault="00D83B4B" w:rsidP="006932E3">
            <w:pPr>
              <w:ind w:right="419"/>
              <w:rPr>
                <w:color w:val="595959" w:themeColor="text1" w:themeTint="A6"/>
              </w:rPr>
            </w:pPr>
            <w:bookmarkStart w:id="0" w:name="_GoBack"/>
            <w:bookmarkEnd w:id="0"/>
          </w:p>
        </w:tc>
      </w:tr>
    </w:tbl>
    <w:p w:rsidR="00BE480F" w:rsidRDefault="00D83B4B" w:rsidP="00AF1438">
      <w:pPr>
        <w:ind w:left="540" w:right="419"/>
        <w:rPr>
          <w:color w:val="595959" w:themeColor="text1" w:themeTint="A6"/>
        </w:rPr>
      </w:pPr>
    </w:p>
    <w:p w:rsidR="00481904" w:rsidRDefault="00D83B4B" w:rsidP="00BF76C7">
      <w:pPr>
        <w:pStyle w:val="ESHeading2"/>
        <w:jc w:val="center"/>
        <w:sectPr w:rsidR="00481904" w:rsidSect="00B402B7">
          <w:headerReference w:type="even" r:id="rId17"/>
          <w:headerReference w:type="default" r:id="rId18"/>
          <w:footerReference w:type="even" r:id="rId19"/>
          <w:footerReference w:type="default" r:id="rId20"/>
          <w:headerReference w:type="first" r:id="rId21"/>
          <w:pgSz w:w="11906" w:h="16838" w:code="9"/>
          <w:pgMar w:top="1005" w:right="737" w:bottom="1304" w:left="562" w:header="624" w:footer="1134" w:gutter="0"/>
          <w:cols w:space="397"/>
          <w:docGrid w:linePitch="360"/>
        </w:sectPr>
      </w:pPr>
    </w:p>
    <w:p w:rsidR="00BF76C7" w:rsidRPr="00242590" w:rsidRDefault="00D83B4B" w:rsidP="00B42C9B">
      <w:pPr>
        <w:ind w:left="-540" w:right="-632"/>
        <w:jc w:val="center"/>
        <w:rPr>
          <w:b/>
          <w:color w:val="AF272F"/>
          <w:sz w:val="32"/>
          <w:szCs w:val="32"/>
        </w:rPr>
      </w:pPr>
      <w:r>
        <w:rPr>
          <w:b/>
          <w:color w:val="AF272F"/>
          <w:sz w:val="36"/>
          <w:szCs w:val="44"/>
        </w:rPr>
        <w:lastRenderedPageBreak/>
        <w:t>About Our School</w:t>
      </w:r>
    </w:p>
    <w:p w:rsidR="0038585D" w:rsidRPr="00864EAA" w:rsidRDefault="00D83B4B" w:rsidP="00A20DEB">
      <w:pPr>
        <w:pStyle w:val="ESIntroParagraph"/>
        <w:ind w:left="-567" w:right="1708" w:firstLine="27"/>
        <w:rPr>
          <w:color w:val="595959" w:themeColor="text1" w:themeTint="A6"/>
          <w:sz w:val="18"/>
          <w:szCs w:val="18"/>
        </w:rPr>
      </w:pPr>
    </w:p>
    <w:tbl>
      <w:tblPr>
        <w:tblStyle w:val="TableGrid"/>
        <w:tblW w:w="10774" w:type="dxa"/>
        <w:tblInd w:w="-714" w:type="dxa"/>
        <w:tblCellMar>
          <w:top w:w="115" w:type="dxa"/>
          <w:left w:w="115" w:type="dxa"/>
          <w:bottom w:w="115" w:type="dxa"/>
          <w:right w:w="115" w:type="dxa"/>
        </w:tblCellMar>
        <w:tblLook w:val="04A0" w:firstRow="1" w:lastRow="0" w:firstColumn="1" w:lastColumn="0" w:noHBand="0" w:noVBand="1"/>
      </w:tblPr>
      <w:tblGrid>
        <w:gridCol w:w="10774"/>
      </w:tblGrid>
      <w:tr w:rsidR="0053212E" w:rsidTr="003329F2">
        <w:trPr>
          <w:trHeight w:val="15"/>
        </w:trPr>
        <w:tc>
          <w:tcPr>
            <w:tcW w:w="10774" w:type="dxa"/>
            <w:shd w:val="clear" w:color="auto" w:fill="D9D9D9" w:themeFill="background1" w:themeFillShade="D9"/>
          </w:tcPr>
          <w:p w:rsidR="00777DB2" w:rsidRPr="001C2589" w:rsidRDefault="00D83B4B" w:rsidP="00994A0F">
            <w:pPr>
              <w:pStyle w:val="Heading3"/>
              <w:spacing w:before="0" w:after="0"/>
              <w:rPr>
                <w:sz w:val="24"/>
                <w:szCs w:val="24"/>
              </w:rPr>
            </w:pPr>
            <w:r w:rsidRPr="005206F9">
              <w:rPr>
                <w:sz w:val="22"/>
                <w:szCs w:val="22"/>
              </w:rPr>
              <w:t xml:space="preserve">School </w:t>
            </w:r>
            <w:r>
              <w:rPr>
                <w:sz w:val="22"/>
                <w:szCs w:val="22"/>
              </w:rPr>
              <w:t>context</w:t>
            </w:r>
          </w:p>
        </w:tc>
      </w:tr>
      <w:tr w:rsidR="0053212E" w:rsidTr="003329F2">
        <w:trPr>
          <w:trHeight w:val="15"/>
        </w:trPr>
        <w:tc>
          <w:tcPr>
            <w:tcW w:w="10774" w:type="dxa"/>
            <w:shd w:val="clear" w:color="auto" w:fill="FFFFFF" w:themeFill="background1"/>
          </w:tcPr>
          <w:p w:rsidR="00D83B4B" w:rsidRDefault="00D83B4B" w:rsidP="00994A0F">
            <w:pPr>
              <w:pStyle w:val="Heading3"/>
              <w:spacing w:before="0" w:after="0"/>
              <w:rPr>
                <w:b w:val="0"/>
              </w:rPr>
            </w:pPr>
            <w:r>
              <w:rPr>
                <w:b w:val="0"/>
              </w:rPr>
              <w:t xml:space="preserve">Valkstone has a student population of 720, SFOE of 0.1315, with 62 full and part-time time staff.  Located in residential </w:t>
            </w:r>
            <w:r>
              <w:rPr>
                <w:b w:val="0"/>
              </w:rPr>
              <w:t>East Bentleigh, Valkstone is a member of the Stonnington and Glen Eira Schools Network.The Leadership Team has two Principal Class members, three Leading Teachers and three Learning Specialists. Seven Education Support Staff - Integration assist funded stu</w:t>
            </w:r>
            <w:r>
              <w:rPr>
                <w:b w:val="0"/>
              </w:rPr>
              <w:t>dents acroos the school. Five Education Support Staff work in Administration and Library.</w:t>
            </w:r>
            <w:r>
              <w:rPr>
                <w:b w:val="0"/>
              </w:rPr>
              <w:br/>
              <w:t>Twenty eight classes, four at each level P -6, are housed in well-maintained and resourced learning spaces, alongside dedicated learning spaces for ICT/Multi-media, L</w:t>
            </w:r>
            <w:r>
              <w:rPr>
                <w:b w:val="0"/>
              </w:rPr>
              <w:t>ibrary, EAL, Japanese, Music and Art. A four year building program of $7.6m dollars has rebuilt or refurbished all our permanent buildings along with significant landscaping and play areas. A maintenance/grounds person works two days a week. School Council</w:t>
            </w:r>
            <w:r>
              <w:rPr>
                <w:b w:val="0"/>
              </w:rPr>
              <w:t xml:space="preserve"> manages working bees seven times a year for minor gardening and community grounds projects.</w:t>
            </w:r>
            <w:r>
              <w:rPr>
                <w:b w:val="0"/>
              </w:rPr>
              <w:br/>
            </w:r>
            <w:r>
              <w:rPr>
                <w:b w:val="0"/>
              </w:rPr>
              <w:br/>
              <w:t>Strategic Plan goals are focused on increasing student learning growth, developing student voice, agency and inquiry learning.Professional Learning Teams collabor</w:t>
            </w:r>
            <w:r>
              <w:rPr>
                <w:b w:val="0"/>
              </w:rPr>
              <w:t xml:space="preserve">ate to plan and implement highly engaging instruction based on the Victorian Curriculum, FISO and the High Impact Teaching Strategies. </w:t>
            </w:r>
            <w:r>
              <w:rPr>
                <w:b w:val="0"/>
              </w:rPr>
              <w:br/>
              <w:t xml:space="preserve">All teachers use digital technology as a learning tool. COMPASS is the administrative/learning portal. </w:t>
            </w:r>
            <w:r>
              <w:rPr>
                <w:b w:val="0"/>
              </w:rPr>
              <w:br/>
              <w:t>Student achievem</w:t>
            </w:r>
            <w:r>
              <w:rPr>
                <w:b w:val="0"/>
              </w:rPr>
              <w:t>ent is at or above the expected level in all areas of English and Maths, with students demonstrating above average growth.</w:t>
            </w:r>
            <w:r>
              <w:rPr>
                <w:b w:val="0"/>
              </w:rPr>
              <w:br/>
            </w:r>
            <w:r>
              <w:rPr>
                <w:b w:val="0"/>
              </w:rPr>
              <w:br/>
              <w:t>Specialist programs are: Art, Music, Physical Education, EAL (English as Additional Language), L.O.T.E. – Japanese and ICT/Multi-med</w:t>
            </w:r>
            <w:r>
              <w:rPr>
                <w:b w:val="0"/>
              </w:rPr>
              <w:t xml:space="preserve">ia. The L.O.T.E. program uses iPads and teleconferences are held regularly with our sister school, Tako Elementary, near Osaka. </w:t>
            </w:r>
            <w:r>
              <w:rPr>
                <w:b w:val="0"/>
              </w:rPr>
              <w:br/>
              <w:t>Environmental education and student initiatives have established a vegetable garden, outdoor learning area, frog pond and encou</w:t>
            </w:r>
            <w:r>
              <w:rPr>
                <w:b w:val="0"/>
              </w:rPr>
              <w:t>rage sustainable practices by the students.</w:t>
            </w:r>
            <w:r>
              <w:rPr>
                <w:b w:val="0"/>
              </w:rPr>
              <w:br/>
              <w:t xml:space="preserve">A well-stocked library, managed by a technician, is used by all classes weekly and is open at lunchtimes as a recreation option for the children. </w:t>
            </w:r>
            <w:r>
              <w:rPr>
                <w:b w:val="0"/>
              </w:rPr>
              <w:br/>
              <w:t>Sporting facilities include: an indoor basketball stadium used fo</w:t>
            </w:r>
            <w:r>
              <w:rPr>
                <w:b w:val="0"/>
              </w:rPr>
              <w:t>r P.E. classes and whole school assemblies each Monday morning, outdoor netball and basketball courts, an oval with cricket pitch, nets and football goal posts, mini grass soccer pitch and bat tennis courts. Five playground installations provide multiple s</w:t>
            </w:r>
            <w:r>
              <w:rPr>
                <w:b w:val="0"/>
              </w:rPr>
              <w:t>ources of fitness fun, whilst an outdoor chess board with large chess pieces challenges mental muscles. Proximity to Glen Eira Sports and Aquatic Centre and Duncan McKinnon Reserve enables Valkstone to run swimming programs and sports carnivals effectively</w:t>
            </w:r>
            <w:r>
              <w:rPr>
                <w:b w:val="0"/>
              </w:rPr>
              <w:t>.</w:t>
            </w:r>
            <w:r>
              <w:rPr>
                <w:b w:val="0"/>
              </w:rPr>
              <w:br/>
            </w:r>
            <w:r>
              <w:rPr>
                <w:b w:val="0"/>
              </w:rPr>
              <w:br/>
              <w:t xml:space="preserve">Our strong values education program, along with Respectful Relationships, The Resilience Project and Growth Mind Set are embedded in daily practice, producing a positive school culture that has consistent and clear expectations for high achievement and </w:t>
            </w:r>
            <w:r>
              <w:rPr>
                <w:b w:val="0"/>
              </w:rPr>
              <w:t>respectful behavior. Student leadership programs include buddies (Year 5 – Prep), Peer Mediators (Year 6), Junior School Council (1- 6), Green Team (1 – 6), Multi Media, House Captains and School Captains.</w:t>
            </w:r>
            <w:r>
              <w:rPr>
                <w:b w:val="0"/>
              </w:rPr>
              <w:br/>
            </w:r>
            <w:r>
              <w:rPr>
                <w:b w:val="0"/>
              </w:rPr>
              <w:br/>
              <w:t>Extra curricula programs include musical performa</w:t>
            </w:r>
            <w:r>
              <w:rPr>
                <w:b w:val="0"/>
              </w:rPr>
              <w:t>nces, instrumental music, choir and guitar, Maths Olympiad, ICAS Competitions, chess and coding.</w:t>
            </w:r>
            <w:r>
              <w:rPr>
                <w:b w:val="0"/>
              </w:rPr>
              <w:br/>
              <w:t>School Council is proactive and the parent community is highly supportive of educational programs, fundraising and community events.</w:t>
            </w:r>
            <w:r>
              <w:rPr>
                <w:b w:val="0"/>
              </w:rPr>
              <w:br/>
              <w:t>Out of School Hours Care (</w:t>
            </w:r>
            <w:r>
              <w:rPr>
                <w:b w:val="0"/>
              </w:rPr>
              <w:t>O.S.H.C.) has attained a high standard of accreditation in Quality Assurance and has been granted a full licence under the Children’s Services Act 1996.</w:t>
            </w:r>
            <w:r>
              <w:rPr>
                <w:b w:val="0"/>
              </w:rPr>
              <w:br/>
              <w:t>Valkstone is a vibrant, equitable, inclusive and supportive learning community for students and teacher</w:t>
            </w:r>
            <w:r>
              <w:rPr>
                <w:b w:val="0"/>
              </w:rPr>
              <w:t>s.</w:t>
            </w:r>
          </w:p>
          <w:p w:rsidR="00D83B4B" w:rsidRDefault="00D83B4B" w:rsidP="00994A0F">
            <w:pPr>
              <w:pStyle w:val="Heading3"/>
              <w:spacing w:before="0" w:after="0"/>
              <w:rPr>
                <w:b w:val="0"/>
              </w:rPr>
            </w:pPr>
          </w:p>
          <w:p w:rsidR="00D83B4B" w:rsidRDefault="00D83B4B" w:rsidP="00994A0F">
            <w:pPr>
              <w:pStyle w:val="Heading3"/>
              <w:spacing w:before="0" w:after="0"/>
              <w:rPr>
                <w:b w:val="0"/>
              </w:rPr>
            </w:pPr>
          </w:p>
          <w:p w:rsidR="00D83B4B" w:rsidRDefault="00D83B4B" w:rsidP="00994A0F">
            <w:pPr>
              <w:pStyle w:val="Heading3"/>
              <w:spacing w:before="0" w:after="0"/>
              <w:rPr>
                <w:b w:val="0"/>
              </w:rPr>
            </w:pPr>
          </w:p>
          <w:p w:rsidR="00777DB2" w:rsidRPr="005A75E6" w:rsidRDefault="00D83B4B" w:rsidP="00994A0F">
            <w:pPr>
              <w:pStyle w:val="Heading3"/>
              <w:spacing w:before="0" w:after="0"/>
              <w:rPr>
                <w:b w:val="0"/>
                <w:szCs w:val="20"/>
              </w:rPr>
            </w:pPr>
            <w:r>
              <w:rPr>
                <w:b w:val="0"/>
              </w:rPr>
              <w:br/>
            </w:r>
          </w:p>
        </w:tc>
      </w:tr>
      <w:tr w:rsidR="0053212E" w:rsidTr="003329F2">
        <w:trPr>
          <w:trHeight w:val="15"/>
        </w:trPr>
        <w:tc>
          <w:tcPr>
            <w:tcW w:w="10774" w:type="dxa"/>
            <w:shd w:val="clear" w:color="auto" w:fill="D9D9D9" w:themeFill="background1" w:themeFillShade="D9"/>
          </w:tcPr>
          <w:p w:rsidR="00777DB2" w:rsidRDefault="00D83B4B" w:rsidP="00994A0F">
            <w:pPr>
              <w:pStyle w:val="Heading3"/>
              <w:spacing w:before="0" w:after="0"/>
              <w:rPr>
                <w:szCs w:val="20"/>
              </w:rPr>
            </w:pPr>
            <w:r w:rsidRPr="00D3162B">
              <w:rPr>
                <w:sz w:val="22"/>
                <w:szCs w:val="22"/>
              </w:rPr>
              <w:t>Framework for Improving Student Outcomes (FISO)</w:t>
            </w:r>
          </w:p>
        </w:tc>
      </w:tr>
      <w:tr w:rsidR="0053212E" w:rsidTr="003329F2">
        <w:trPr>
          <w:trHeight w:val="15"/>
        </w:trPr>
        <w:tc>
          <w:tcPr>
            <w:tcW w:w="10774" w:type="dxa"/>
            <w:shd w:val="clear" w:color="auto" w:fill="FFFFFF" w:themeFill="background1"/>
          </w:tcPr>
          <w:p w:rsidR="00777DB2" w:rsidRPr="005A75E6" w:rsidRDefault="00D83B4B" w:rsidP="00994A0F">
            <w:pPr>
              <w:pStyle w:val="Heading3"/>
              <w:spacing w:before="0" w:after="0"/>
              <w:rPr>
                <w:b w:val="0"/>
                <w:szCs w:val="20"/>
              </w:rPr>
            </w:pPr>
            <w:r>
              <w:rPr>
                <w:b w:val="0"/>
              </w:rPr>
              <w:t xml:space="preserve">Excellence in teaching and learning, with specific targets for literacy and numeracy, formed the basis of our 2019 Annual Implementation Plan. One key improvement strategy was to increase annually high </w:t>
            </w:r>
            <w:r>
              <w:rPr>
                <w:b w:val="0"/>
              </w:rPr>
              <w:t xml:space="preserve">growth in writing. Through </w:t>
            </w:r>
            <w:r>
              <w:rPr>
                <w:b w:val="0"/>
              </w:rPr>
              <w:lastRenderedPageBreak/>
              <w:t>curriculum planning and building practice excellence we have established consistent and proven practices to improve the delivery of writing. Many professional development sessions were allocated across the year and these strategi</w:t>
            </w:r>
            <w:r>
              <w:rPr>
                <w:b w:val="0"/>
              </w:rPr>
              <w:t xml:space="preserve">es have resulted in targets being realised. In numeracy we aimed to have an increase in learning for highly able students. NAPLAN results were positive. </w:t>
            </w:r>
            <w:r>
              <w:rPr>
                <w:b w:val="0"/>
              </w:rPr>
              <w:br/>
              <w:t>Empowering students and building school pride, supported our push for a positive climate for learning.</w:t>
            </w:r>
            <w:r>
              <w:rPr>
                <w:b w:val="0"/>
              </w:rPr>
              <w:t xml:space="preserve"> A variety of programs have been used across the school to develop a sense of belonging and to ensure that students enjoy positive experiences at school. </w:t>
            </w:r>
          </w:p>
        </w:tc>
      </w:tr>
      <w:tr w:rsidR="0053212E" w:rsidTr="003329F2">
        <w:trPr>
          <w:trHeight w:val="15"/>
        </w:trPr>
        <w:tc>
          <w:tcPr>
            <w:tcW w:w="10774" w:type="dxa"/>
            <w:shd w:val="clear" w:color="auto" w:fill="D9D9D9" w:themeFill="background1" w:themeFillShade="D9"/>
          </w:tcPr>
          <w:p w:rsidR="00777DB2" w:rsidRDefault="00D83B4B" w:rsidP="00994A0F">
            <w:pPr>
              <w:pStyle w:val="Heading3"/>
              <w:spacing w:before="0" w:after="0"/>
              <w:rPr>
                <w:szCs w:val="20"/>
              </w:rPr>
            </w:pPr>
            <w:r w:rsidRPr="00D3162B">
              <w:rPr>
                <w:sz w:val="22"/>
                <w:szCs w:val="22"/>
              </w:rPr>
              <w:lastRenderedPageBreak/>
              <w:t>Achievement</w:t>
            </w:r>
          </w:p>
        </w:tc>
      </w:tr>
      <w:tr w:rsidR="0053212E" w:rsidTr="003329F2">
        <w:trPr>
          <w:trHeight w:val="15"/>
        </w:trPr>
        <w:tc>
          <w:tcPr>
            <w:tcW w:w="10774" w:type="dxa"/>
            <w:shd w:val="clear" w:color="auto" w:fill="FFFFFF" w:themeFill="background1"/>
          </w:tcPr>
          <w:p w:rsidR="00777DB2" w:rsidRPr="005A75E6" w:rsidRDefault="00D83B4B" w:rsidP="00994A0F">
            <w:pPr>
              <w:pStyle w:val="Heading3"/>
              <w:spacing w:before="0" w:after="0"/>
              <w:rPr>
                <w:b w:val="0"/>
                <w:szCs w:val="20"/>
              </w:rPr>
            </w:pPr>
            <w:r>
              <w:rPr>
                <w:b w:val="0"/>
              </w:rPr>
              <w:t>High growth indicators, from NAPLAN testing have shown that students are progressing we</w:t>
            </w:r>
            <w:r>
              <w:rPr>
                <w:b w:val="0"/>
              </w:rPr>
              <w:t>ll from year 3 to year 5.</w:t>
            </w:r>
            <w:r>
              <w:rPr>
                <w:b w:val="0"/>
              </w:rPr>
              <w:br/>
              <w:t>One key improvement strategy was to increase annually high growth in writing. We exceeded our target, with 35% of students achieving high growth.</w:t>
            </w:r>
            <w:r>
              <w:rPr>
                <w:b w:val="0"/>
              </w:rPr>
              <w:br/>
              <w:t xml:space="preserve">Numeracy: high growth of 34%.  Reading: High growth 38%. Spelling: High growth 39%. </w:t>
            </w:r>
            <w:r>
              <w:rPr>
                <w:b w:val="0"/>
              </w:rPr>
              <w:t>Grammar and Punctuation: High growth 27%.</w:t>
            </w:r>
            <w:r>
              <w:rPr>
                <w:b w:val="0"/>
              </w:rPr>
              <w:br/>
              <w:t>We are above similar schools for our Year 3 results in NAPLAN, with Year 5 indicating similar results for similar schools. All of our results are well above 60% of Victorian schools.</w:t>
            </w:r>
            <w:r>
              <w:rPr>
                <w:b w:val="0"/>
              </w:rPr>
              <w:br/>
              <w:t>Teacher judgements show that we</w:t>
            </w:r>
            <w:r>
              <w:rPr>
                <w:b w:val="0"/>
              </w:rPr>
              <w:t xml:space="preserve"> are above similar schools in Mathematics and comparable to similar schools in English.</w:t>
            </w:r>
            <w:r>
              <w:rPr>
                <w:b w:val="0"/>
              </w:rPr>
              <w:br/>
              <w:t>On the current data, our future direction should be in grammar and punctuation. This was the element that showed the lowest growth and will be the focus for the intensi</w:t>
            </w:r>
            <w:r>
              <w:rPr>
                <w:b w:val="0"/>
              </w:rPr>
              <w:t xml:space="preserve">ve work and explicit instruction in writing,  </w:t>
            </w:r>
          </w:p>
        </w:tc>
      </w:tr>
      <w:tr w:rsidR="0053212E" w:rsidTr="003329F2">
        <w:trPr>
          <w:trHeight w:val="15"/>
        </w:trPr>
        <w:tc>
          <w:tcPr>
            <w:tcW w:w="10774" w:type="dxa"/>
            <w:shd w:val="clear" w:color="auto" w:fill="D9D9D9" w:themeFill="background1" w:themeFillShade="D9"/>
          </w:tcPr>
          <w:p w:rsidR="00777DB2" w:rsidRPr="00D3162B" w:rsidRDefault="00D83B4B" w:rsidP="00994A0F">
            <w:pPr>
              <w:pStyle w:val="Heading3"/>
              <w:spacing w:before="0" w:after="0"/>
              <w:rPr>
                <w:sz w:val="22"/>
                <w:szCs w:val="22"/>
              </w:rPr>
            </w:pPr>
            <w:r w:rsidRPr="00D3162B">
              <w:rPr>
                <w:sz w:val="22"/>
                <w:szCs w:val="22"/>
              </w:rPr>
              <w:t>Engagement</w:t>
            </w:r>
          </w:p>
        </w:tc>
      </w:tr>
      <w:tr w:rsidR="0053212E" w:rsidTr="003329F2">
        <w:trPr>
          <w:trHeight w:val="15"/>
        </w:trPr>
        <w:tc>
          <w:tcPr>
            <w:tcW w:w="10774" w:type="dxa"/>
            <w:shd w:val="clear" w:color="auto" w:fill="FFFFFF" w:themeFill="background1"/>
          </w:tcPr>
          <w:p w:rsidR="00777DB2" w:rsidRPr="005A75E6" w:rsidRDefault="00D83B4B" w:rsidP="00994A0F">
            <w:pPr>
              <w:pStyle w:val="Heading3"/>
              <w:spacing w:before="0" w:after="0"/>
              <w:rPr>
                <w:b w:val="0"/>
                <w:szCs w:val="20"/>
              </w:rPr>
            </w:pPr>
            <w:r>
              <w:rPr>
                <w:b w:val="0"/>
              </w:rPr>
              <w:t>The data indicates that Valkstone has similar attendance results to like schools. With a diverse community, many families take overseas trips to visit relatives. We have a strong commitment to 'It</w:t>
            </w:r>
            <w:r>
              <w:rPr>
                <w:b w:val="0"/>
              </w:rPr>
              <w:t xml:space="preserve"> is not ok to be away' and provide an inclusive and supportive environment for all students. Wellbeing co-ordinators follow up absences to support students, families and teachers.This is evidenced by an average of 93% attendance rate across all grade level</w:t>
            </w:r>
            <w:r>
              <w:rPr>
                <w:b w:val="0"/>
              </w:rPr>
              <w:t>s.The Students Attitudes to School Survey shows that students at Valkstone indicate the 'Management of Bullying' factor is effective, above like schools and the sense of connectedness is similar to like schools. Students have a strong sense of connectednes</w:t>
            </w:r>
            <w:r>
              <w:rPr>
                <w:b w:val="0"/>
              </w:rPr>
              <w:t xml:space="preserve">s,  zero tolerance of bullying contributes to a sense of safety, students are highly engaged and do well at their learning and personal development. </w:t>
            </w:r>
          </w:p>
        </w:tc>
      </w:tr>
      <w:tr w:rsidR="0053212E" w:rsidTr="003329F2">
        <w:trPr>
          <w:trHeight w:val="15"/>
        </w:trPr>
        <w:tc>
          <w:tcPr>
            <w:tcW w:w="10774" w:type="dxa"/>
            <w:shd w:val="clear" w:color="auto" w:fill="D9D9D9" w:themeFill="background1" w:themeFillShade="D9"/>
          </w:tcPr>
          <w:p w:rsidR="00777DB2" w:rsidRPr="00D3162B" w:rsidRDefault="00D83B4B" w:rsidP="00994A0F">
            <w:pPr>
              <w:pStyle w:val="Heading3"/>
              <w:spacing w:before="0" w:after="0"/>
              <w:rPr>
                <w:sz w:val="22"/>
                <w:szCs w:val="22"/>
              </w:rPr>
            </w:pPr>
            <w:r w:rsidRPr="00F40AEE">
              <w:rPr>
                <w:sz w:val="22"/>
                <w:szCs w:val="22"/>
              </w:rPr>
              <w:t>Wellbeing</w:t>
            </w:r>
          </w:p>
        </w:tc>
      </w:tr>
      <w:tr w:rsidR="0053212E" w:rsidTr="003329F2">
        <w:trPr>
          <w:trHeight w:val="15"/>
        </w:trPr>
        <w:tc>
          <w:tcPr>
            <w:tcW w:w="10774" w:type="dxa"/>
            <w:shd w:val="clear" w:color="auto" w:fill="FFFFFF" w:themeFill="background1"/>
          </w:tcPr>
          <w:p w:rsidR="00777DB2" w:rsidRPr="007C43EB" w:rsidRDefault="00D83B4B" w:rsidP="00994A0F">
            <w:pPr>
              <w:pStyle w:val="Heading3"/>
              <w:spacing w:before="0" w:after="0"/>
              <w:rPr>
                <w:b w:val="0"/>
                <w:szCs w:val="20"/>
              </w:rPr>
            </w:pPr>
            <w:r>
              <w:rPr>
                <w:b w:val="0"/>
              </w:rPr>
              <w:t xml:space="preserve">The Resilience Project established common language across all grades and supported teacher </w:t>
            </w:r>
            <w:r>
              <w:rPr>
                <w:b w:val="0"/>
              </w:rPr>
              <w:t>development in the application of explicit teaching practices. Growth Mindset complemented the Resilience Project and the school’s values program. In 2019 the Wellbeing Committee completed a scope and sequence document that addressed all these areas, and i</w:t>
            </w:r>
            <w:r>
              <w:rPr>
                <w:b w:val="0"/>
              </w:rPr>
              <w:t>ncluded Respectful Relationships.</w:t>
            </w:r>
            <w:r>
              <w:rPr>
                <w:b w:val="0"/>
              </w:rPr>
              <w:br/>
              <w:t>Some additional programs promoting student wellbeing have included Peer Mediation, Family Life, Click Against Hate and student led weekly assemblies.</w:t>
            </w:r>
            <w:r>
              <w:rPr>
                <w:b w:val="0"/>
              </w:rPr>
              <w:br/>
              <w:t xml:space="preserve">Student Attitudes to School Survey (2019) evidenced the positive effect </w:t>
            </w:r>
            <w:r>
              <w:rPr>
                <w:b w:val="0"/>
              </w:rPr>
              <w:t xml:space="preserve">that these programs have had on student wellbeing. </w:t>
            </w:r>
            <w:r>
              <w:rPr>
                <w:b w:val="0"/>
              </w:rPr>
              <w:br/>
              <w:t xml:space="preserve">Positive climate for Learning: </w:t>
            </w:r>
            <w:r>
              <w:rPr>
                <w:b w:val="0"/>
              </w:rPr>
              <w:br/>
              <w:t>80% of students responded positively to school connectedness</w:t>
            </w:r>
            <w:r>
              <w:rPr>
                <w:b w:val="0"/>
              </w:rPr>
              <w:br/>
              <w:t>87% of students responded positively to a Sense of Inclusion</w:t>
            </w:r>
            <w:r>
              <w:rPr>
                <w:b w:val="0"/>
              </w:rPr>
              <w:br/>
              <w:t>Excellence in Teaching and Learning:</w:t>
            </w:r>
            <w:r>
              <w:rPr>
                <w:b w:val="0"/>
              </w:rPr>
              <w:br/>
              <w:t>80% of studen</w:t>
            </w:r>
            <w:r>
              <w:rPr>
                <w:b w:val="0"/>
              </w:rPr>
              <w:t>ts responded positively to Resilience</w:t>
            </w:r>
            <w:r>
              <w:rPr>
                <w:b w:val="0"/>
              </w:rPr>
              <w:br/>
              <w:t>88% of students responded positively to Attitudes to Attendance</w:t>
            </w:r>
            <w:r>
              <w:rPr>
                <w:b w:val="0"/>
              </w:rPr>
              <w:br/>
            </w:r>
          </w:p>
        </w:tc>
      </w:tr>
      <w:tr w:rsidR="0053212E" w:rsidTr="003329F2">
        <w:trPr>
          <w:trHeight w:val="15"/>
        </w:trPr>
        <w:tc>
          <w:tcPr>
            <w:tcW w:w="10774" w:type="dxa"/>
            <w:shd w:val="clear" w:color="auto" w:fill="D9D9D9" w:themeFill="background1" w:themeFillShade="D9"/>
          </w:tcPr>
          <w:p w:rsidR="00777DB2" w:rsidRPr="00D3162B" w:rsidRDefault="00D83B4B" w:rsidP="00994A0F">
            <w:pPr>
              <w:pStyle w:val="Heading3"/>
              <w:spacing w:before="0" w:after="0"/>
              <w:rPr>
                <w:sz w:val="22"/>
                <w:szCs w:val="22"/>
              </w:rPr>
            </w:pPr>
            <w:r w:rsidRPr="00F40AEE">
              <w:rPr>
                <w:sz w:val="22"/>
                <w:szCs w:val="22"/>
              </w:rPr>
              <w:t>Financial performance and position</w:t>
            </w:r>
          </w:p>
        </w:tc>
      </w:tr>
      <w:tr w:rsidR="0053212E" w:rsidTr="003329F2">
        <w:trPr>
          <w:trHeight w:val="15"/>
        </w:trPr>
        <w:tc>
          <w:tcPr>
            <w:tcW w:w="10774" w:type="dxa"/>
            <w:shd w:val="clear" w:color="auto" w:fill="FFFFFF" w:themeFill="background1"/>
          </w:tcPr>
          <w:p w:rsidR="00777DB2" w:rsidRPr="005A75E6" w:rsidRDefault="00D83B4B" w:rsidP="00994A0F">
            <w:pPr>
              <w:pStyle w:val="Heading3"/>
              <w:spacing w:before="0" w:after="0"/>
              <w:rPr>
                <w:b w:val="0"/>
                <w:szCs w:val="20"/>
              </w:rPr>
            </w:pPr>
            <w:r>
              <w:rPr>
                <w:b w:val="0"/>
              </w:rPr>
              <w:lastRenderedPageBreak/>
              <w:t>Valkstone School Council, guided by the Finance Committee sets the annual budget, approves projects for the year ahead and monitors monthly expenditure against income.  Equity funding contributes to learning support programs/staff in literacy and numeracy.</w:t>
            </w:r>
            <w:r>
              <w:rPr>
                <w:b w:val="0"/>
              </w:rPr>
              <w:t xml:space="preserve"> Commonwealth Grants support the O.S.H.C. program. State government grants through the Student Resource Package had a boost in 2019 for grounds and maintenance with an additional $110,000 over 2019/20. Salaries and allowances at school-level payroll includ</w:t>
            </w:r>
            <w:r>
              <w:rPr>
                <w:b w:val="0"/>
              </w:rPr>
              <w:t>ed the O.S.H.C. staff, additional ICT support and grounds maintenance.  Locally raised funds include parent payments, voluntary contributions and fundraising. Fundraising income has contributed to ongoing grounds improvements: bubbler taps around the perim</w:t>
            </w:r>
            <w:r>
              <w:rPr>
                <w:b w:val="0"/>
              </w:rPr>
              <w:t xml:space="preserve">eter of the playgrounds, garden edging, planting and landscaping. </w:t>
            </w:r>
          </w:p>
        </w:tc>
      </w:tr>
      <w:tr w:rsidR="0053212E" w:rsidTr="003329F2">
        <w:trPr>
          <w:trHeight w:val="15"/>
        </w:trPr>
        <w:tc>
          <w:tcPr>
            <w:tcW w:w="10774" w:type="dxa"/>
            <w:shd w:val="clear" w:color="auto" w:fill="D9D9D9" w:themeFill="background1" w:themeFillShade="D9"/>
          </w:tcPr>
          <w:p w:rsidR="00BF0096" w:rsidRPr="005A75E6" w:rsidRDefault="00D83B4B" w:rsidP="00C71E7A">
            <w:pPr>
              <w:pStyle w:val="Heading3"/>
              <w:spacing w:before="0" w:after="0"/>
              <w:rPr>
                <w:b w:val="0"/>
                <w:szCs w:val="20"/>
              </w:rPr>
            </w:pPr>
          </w:p>
          <w:p w:rsidR="0053212E" w:rsidRDefault="00D83B4B">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2" w:history="1">
              <w:r>
                <w:rPr>
                  <w:rFonts w:eastAsia="Arial"/>
                  <w:b/>
                  <w:bCs/>
                  <w:color w:val="0000EE"/>
                  <w:sz w:val="22"/>
                  <w:szCs w:val="22"/>
                  <w:u w:val="single"/>
                </w:rPr>
                <w:t xml:space="preserve">www.valkstoneps.vic.edu.au </w:t>
              </w:r>
            </w:hyperlink>
          </w:p>
          <w:p w:rsidR="0053212E" w:rsidRDefault="0053212E"/>
        </w:tc>
      </w:tr>
    </w:tbl>
    <w:p w:rsidR="005E684F" w:rsidRPr="00FA10DB" w:rsidRDefault="00D83B4B" w:rsidP="00F73E5D">
      <w:pPr>
        <w:ind w:right="-632"/>
        <w:rPr>
          <w:b/>
          <w:color w:val="AF272F"/>
          <w:sz w:val="36"/>
          <w:szCs w:val="44"/>
        </w:rPr>
        <w:sectPr w:rsidR="005E684F" w:rsidRPr="00FA10DB" w:rsidSect="005D3640">
          <w:headerReference w:type="even" r:id="rId23"/>
          <w:headerReference w:type="default" r:id="rId24"/>
          <w:footerReference w:type="default" r:id="rId25"/>
          <w:headerReference w:type="first" r:id="rId26"/>
          <w:pgSz w:w="11906" w:h="16838" w:code="9"/>
          <w:pgMar w:top="2036" w:right="1240" w:bottom="1304" w:left="1304" w:header="624" w:footer="532" w:gutter="0"/>
          <w:cols w:space="397"/>
          <w:docGrid w:linePitch="360"/>
        </w:sectPr>
      </w:pPr>
    </w:p>
    <w:p w:rsidR="00ED2B37" w:rsidRDefault="00D83B4B">
      <w:pPr>
        <w:pStyle w:val="ESHeading1"/>
        <w:jc w:val="center"/>
        <w:rPr>
          <w:color w:val="auto"/>
        </w:rPr>
      </w:pPr>
      <w:r>
        <w:rPr>
          <w:color w:val="auto"/>
        </w:rPr>
        <w:lastRenderedPageBreak/>
        <w:t>Performance Summary</w:t>
      </w:r>
    </w:p>
    <w:p w:rsidR="00ED2B37" w:rsidRDefault="00D83B4B">
      <w:pPr>
        <w:pStyle w:val="ESBodyText"/>
      </w:pPr>
      <w:r>
        <w:t xml:space="preserve">The Government School Performance Summary provides an overview of how this school is contributing to the objectives of the Education </w:t>
      </w:r>
      <w:r>
        <w:t>State and how it compares to other Victorian Government schools.</w:t>
      </w:r>
    </w:p>
    <w:p w:rsidR="00ED2B37" w:rsidRDefault="00D83B4B">
      <w:pPr>
        <w:pStyle w:val="ESBodyText"/>
      </w:pPr>
      <w:r>
        <w:t>All schools work in partnership with their school community to improve outcomes for children and young people.  Sharing this information with parents and the wider school community helps to s</w:t>
      </w:r>
      <w:r>
        <w:t>upport community engagement in student learning, a key priority of the Framework for Improving Student Outcomes.</w:t>
      </w:r>
    </w:p>
    <w:p w:rsidR="00ED2B37" w:rsidRDefault="00D83B4B">
      <w:pPr>
        <w:pStyle w:val="ESBodyText"/>
      </w:pPr>
      <w:r>
        <w:t>Refer to the ‘How to read the Annual Report’ section for help on how to interpret this report.</w:t>
      </w:r>
    </w:p>
    <w:p w:rsidR="00ED2B37" w:rsidRDefault="00D83B4B">
      <w:pPr>
        <w:pStyle w:val="ESHeading2"/>
        <w:rPr>
          <w:color w:val="00008B"/>
          <w:u w:val="single"/>
        </w:rPr>
      </w:pPr>
      <w:r>
        <w:rPr>
          <w:color w:val="00008B"/>
          <w:u w:val="single"/>
        </w:rPr>
        <w:t>School profile</w:t>
      </w:r>
    </w:p>
    <w:p w:rsidR="00ED2B37" w:rsidRDefault="00D83B4B">
      <w:pPr>
        <w:pStyle w:val="ESBodyText"/>
        <w:ind w:left="709" w:hanging="709"/>
        <w:rPr>
          <w:b/>
          <w:i/>
        </w:rPr>
      </w:pPr>
      <w:r>
        <w:rPr>
          <w:b/>
          <w:i/>
        </w:rPr>
        <w:t>Key:</w:t>
      </w:r>
      <w:r>
        <w:rPr>
          <w:b/>
          <w:i/>
        </w:rPr>
        <w:tab/>
        <w:t>“Middle 60 percent low” to “</w:t>
      </w:r>
      <w:r>
        <w:rPr>
          <w:b/>
          <w:i/>
        </w:rPr>
        <w:t>middle 60 percent high” is the range of results for the middle 60 percent of Victorian Government primary school type.</w:t>
      </w:r>
    </w:p>
    <w:p w:rsidR="00ED2B37" w:rsidRDefault="00D83B4B">
      <w:pPr>
        <w:pStyle w:val="ESImageorGraphTitle"/>
        <w:rPr>
          <w:color w:val="00008B"/>
        </w:rPr>
      </w:pPr>
      <w:r>
        <w:rPr>
          <w:color w:val="00008B"/>
        </w:rPr>
        <w:t>Enrolment Profile</w:t>
      </w:r>
    </w:p>
    <w:p w:rsidR="00ED2B37" w:rsidRDefault="00D83B4B">
      <w:pPr>
        <w:pStyle w:val="ESBodyText"/>
      </w:pPr>
      <w:r>
        <w:t>A total of  717 students were enrolled at this school in 2019,  342 female and  375 male.</w:t>
      </w:r>
    </w:p>
    <w:p w:rsidR="00ED2B37" w:rsidRDefault="00D83B4B">
      <w:pPr>
        <w:pStyle w:val="ESBodyText"/>
      </w:pPr>
      <w:r>
        <w:t>38 percent of students had En</w:t>
      </w:r>
      <w:r>
        <w:t>glish as an additional language and np percent were Aboriginal or Torres Strait Islander.</w:t>
      </w:r>
    </w:p>
    <w:p w:rsidR="00ED2B37" w:rsidRDefault="00D83B4B">
      <w:pPr>
        <w:pStyle w:val="ESBodyText"/>
        <w:rPr>
          <w:color w:val="00008B"/>
        </w:rPr>
      </w:pPr>
    </w:p>
    <w:p w:rsidR="00ED2B37" w:rsidRDefault="00D83B4B">
      <w:pPr>
        <w:pStyle w:val="ESBodyText"/>
        <w:rPr>
          <w:rFonts w:eastAsiaTheme="majorEastAsia" w:cstheme="majorBidi"/>
          <w:b/>
          <w:bCs/>
          <w:color w:val="00008B"/>
          <w:szCs w:val="20"/>
        </w:rPr>
      </w:pPr>
      <w:r>
        <w:rPr>
          <w:rFonts w:eastAsiaTheme="majorEastAsia" w:cstheme="majorBidi"/>
          <w:b/>
          <w:bCs/>
          <w:color w:val="00008B"/>
          <w:szCs w:val="20"/>
        </w:rPr>
        <w:t>Overall Socio-Economic Profile</w:t>
      </w:r>
    </w:p>
    <w:p w:rsidR="00ED2B37" w:rsidRDefault="00D83B4B">
      <w:pPr>
        <w:pStyle w:val="ESBodyText"/>
      </w:pPr>
      <w:r>
        <w:t xml:space="preserve">The overall school’s socio-economic profile is based on the school's Student Family Occupation and Education index (SFOE) which takes </w:t>
      </w:r>
      <w:r>
        <w:t>into account parents' occupations and education.</w:t>
      </w:r>
    </w:p>
    <w:p w:rsidR="00ED2B37" w:rsidRDefault="00D83B4B">
      <w:pPr>
        <w:pStyle w:val="ESBodyText"/>
      </w:pPr>
      <w:r>
        <w:t>Possible socio-economic band values are: Low, Low-Medium, Medium and High.</w:t>
      </w:r>
    </w:p>
    <w:p w:rsidR="00ED2B37" w:rsidRDefault="00D83B4B">
      <w:pPr>
        <w:pStyle w:val="ESBodyText"/>
      </w:pPr>
      <w:r>
        <w:t>This school’s socio-economic band value is: High</w:t>
      </w:r>
    </w:p>
    <w:p w:rsidR="00ED2B37" w:rsidRDefault="00D83B4B">
      <w:pPr>
        <w:pStyle w:val="ESBodyText"/>
      </w:pPr>
    </w:p>
    <w:p w:rsidR="00ED2B37" w:rsidRDefault="00D83B4B">
      <w:pPr>
        <w:pStyle w:val="ESBodyText"/>
        <w:rPr>
          <w:rFonts w:eastAsiaTheme="majorEastAsia" w:cstheme="majorBidi"/>
          <w:b/>
          <w:bCs/>
          <w:color w:val="00008B"/>
          <w:szCs w:val="20"/>
        </w:rPr>
      </w:pPr>
      <w:r>
        <w:rPr>
          <w:rFonts w:eastAsiaTheme="majorEastAsia" w:cstheme="majorBidi"/>
          <w:b/>
          <w:bCs/>
          <w:color w:val="00008B"/>
          <w:szCs w:val="20"/>
        </w:rPr>
        <w:t>Parent Satisfaction Summary</w:t>
      </w:r>
    </w:p>
    <w:p w:rsidR="00ED2B37" w:rsidRDefault="00D83B4B">
      <w:pPr>
        <w:rPr>
          <w:rFonts w:eastAsia="MS Mincho"/>
        </w:rPr>
      </w:pPr>
      <w:r>
        <w:rPr>
          <w:rFonts w:eastAsia="MS Mincho"/>
        </w:rPr>
        <w:t>The percent endorsement by parents on their school sat</w:t>
      </w:r>
      <w:r>
        <w:rPr>
          <w:rFonts w:eastAsia="MS Mincho"/>
        </w:rPr>
        <w:t>isfaction level as reported in the annual Parent Opinion Survey.</w:t>
      </w:r>
    </w:p>
    <w:p w:rsidR="00ED2B37" w:rsidRDefault="00D83B4B">
      <w:pPr>
        <w:spacing w:after="240"/>
      </w:pPr>
      <w:r>
        <w:rPr>
          <w:rFonts w:eastAsia="MS Mincho"/>
        </w:rPr>
        <w:t>Percent endorsement indicates the percent of positive responses (agree or strongly agree) from parents who responded to the survey.</w:t>
      </w:r>
    </w:p>
    <w:tbl>
      <w:tblPr>
        <w:tblStyle w:val="GridTable2-Accent61"/>
        <w:tblW w:w="4853" w:type="pct"/>
        <w:jc w:val="center"/>
        <w:tblLook w:val="04A0" w:firstRow="1" w:lastRow="0" w:firstColumn="1" w:lastColumn="0" w:noHBand="0" w:noVBand="1"/>
        <w:tblCaption w:val="Parent Opinion survey results"/>
      </w:tblPr>
      <w:tblGrid>
        <w:gridCol w:w="4107"/>
        <w:gridCol w:w="1586"/>
        <w:gridCol w:w="1586"/>
        <w:gridCol w:w="1586"/>
        <w:gridCol w:w="1584"/>
      </w:tblGrid>
      <w:tr w:rsidR="0053212E" w:rsidTr="0053212E">
        <w:trPr>
          <w:cnfStyle w:val="100000000000" w:firstRow="1" w:lastRow="0" w:firstColumn="0" w:lastColumn="0" w:oddVBand="0" w:evenVBand="0" w:oddHBand="0" w:evenHBand="0" w:firstRowFirstColumn="0" w:firstRowLastColumn="0" w:lastRowFirstColumn="0" w:lastRowLastColumn="0"/>
          <w:trHeight w:val="445"/>
          <w:tblHeader/>
          <w:jc w:val="center"/>
        </w:trPr>
        <w:tc>
          <w:tcPr>
            <w:cnfStyle w:val="001000000000" w:firstRow="0" w:lastRow="0" w:firstColumn="1" w:lastColumn="0" w:oddVBand="0" w:evenVBand="0" w:oddHBand="0" w:evenHBand="0" w:firstRowFirstColumn="0" w:firstRowLastColumn="0" w:lastRowFirstColumn="0" w:lastRowLastColumn="0"/>
            <w:tcW w:w="1965" w:type="pct"/>
            <w:tcBorders>
              <w:bottom w:val="single" w:sz="12" w:space="0" w:color="FFFFFF"/>
            </w:tcBorders>
            <w:shd w:val="clear" w:color="auto" w:fill="106CB5"/>
            <w:vAlign w:val="center"/>
            <w:hideMark/>
          </w:tcPr>
          <w:p w:rsidR="00ED2B37" w:rsidRDefault="00D83B4B">
            <w:pPr>
              <w:spacing w:before="40" w:after="40" w:line="240" w:lineRule="auto"/>
              <w:rPr>
                <w:rFonts w:cs="Times New Roman"/>
                <w:color w:val="FFFFFF"/>
                <w:szCs w:val="22"/>
              </w:rPr>
            </w:pPr>
            <w:bookmarkStart w:id="1" w:name="Table_1"/>
            <w:r>
              <w:rPr>
                <w:rFonts w:cs="Times New Roman"/>
                <w:color w:val="FFFFFF"/>
                <w:szCs w:val="22"/>
              </w:rPr>
              <w:t>Parent Satisfaction</w:t>
            </w:r>
          </w:p>
        </w:tc>
        <w:tc>
          <w:tcPr>
            <w:tcW w:w="759" w:type="pct"/>
            <w:tcBorders>
              <w:bottom w:val="single" w:sz="12" w:space="0" w:color="FFFFFF"/>
            </w:tcBorders>
            <w:shd w:val="clear" w:color="auto" w:fill="106CB5"/>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color w:val="FFFFFF"/>
                <w:szCs w:val="22"/>
              </w:rPr>
              <w:t>School</w:t>
            </w:r>
          </w:p>
        </w:tc>
        <w:tc>
          <w:tcPr>
            <w:tcW w:w="759" w:type="pct"/>
            <w:tcBorders>
              <w:bottom w:val="single" w:sz="12" w:space="0" w:color="FFFFFF"/>
            </w:tcBorders>
            <w:shd w:val="clear" w:color="auto" w:fill="106CB5"/>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color w:val="FFFFFF"/>
                <w:szCs w:val="22"/>
              </w:rPr>
              <w:t>State Median</w:t>
            </w:r>
          </w:p>
        </w:tc>
        <w:tc>
          <w:tcPr>
            <w:tcW w:w="759" w:type="pct"/>
            <w:tcBorders>
              <w:bottom w:val="single" w:sz="12" w:space="0" w:color="FFFFFF"/>
            </w:tcBorders>
            <w:shd w:val="clear" w:color="auto" w:fill="106CB5"/>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 xml:space="preserve">Middle 60 percent </w:t>
            </w:r>
            <w:r>
              <w:rPr>
                <w:rFonts w:cs="Times New Roman"/>
                <w:bCs w:val="0"/>
                <w:color w:val="FFFFFF"/>
                <w:szCs w:val="22"/>
              </w:rPr>
              <w:t>low</w:t>
            </w:r>
          </w:p>
        </w:tc>
        <w:tc>
          <w:tcPr>
            <w:tcW w:w="759" w:type="pct"/>
            <w:tcBorders>
              <w:bottom w:val="single" w:sz="12" w:space="0" w:color="FFFFFF"/>
            </w:tcBorders>
            <w:shd w:val="clear" w:color="auto" w:fill="106CB5"/>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Middle 60 percent high</w:t>
            </w:r>
          </w:p>
        </w:tc>
      </w:tr>
      <w:tr w:rsidR="0053212E" w:rsidTr="0053212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65"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rPr>
                <w:rFonts w:cs="Times New Roman"/>
                <w:szCs w:val="22"/>
              </w:rPr>
            </w:pPr>
          </w:p>
        </w:tc>
        <w:tc>
          <w:tcPr>
            <w:tcW w:w="759"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759" w:type="pct"/>
            <w:tcBorders>
              <w:top w:val="single" w:sz="12" w:space="0" w:color="FFFFFF"/>
              <w:bottom w:val="single" w:sz="2" w:space="0" w:color="106CB5"/>
            </w:tcBorders>
            <w:shd w:val="clear" w:color="auto" w:fill="FFFFFF"/>
            <w:noWrap/>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759" w:type="pct"/>
            <w:tcBorders>
              <w:top w:val="single" w:sz="12" w:space="0" w:color="FFFFFF"/>
              <w:bottom w:val="single" w:sz="2" w:space="0" w:color="106CB5"/>
            </w:tcBorders>
            <w:shd w:val="clear" w:color="auto" w:fill="FFFFFF"/>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759"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r>
      <w:tr w:rsidR="0053212E" w:rsidTr="005321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5" w:type="pct"/>
            <w:tcBorders>
              <w:top w:val="single" w:sz="2" w:space="0" w:color="106CB5"/>
              <w:bottom w:val="single" w:sz="2" w:space="0" w:color="106CB5"/>
            </w:tcBorders>
            <w:shd w:val="clear" w:color="auto" w:fill="D9D9D9"/>
            <w:noWrap/>
            <w:vAlign w:val="center"/>
            <w:hideMark/>
          </w:tcPr>
          <w:p w:rsidR="00ED2B37" w:rsidRDefault="00D83B4B">
            <w:pPr>
              <w:spacing w:before="40" w:after="40" w:line="240" w:lineRule="auto"/>
              <w:rPr>
                <w:rFonts w:cs="Times New Roman"/>
                <w:szCs w:val="22"/>
              </w:rPr>
            </w:pPr>
            <w:r>
              <w:rPr>
                <w:rFonts w:cs="Times New Roman"/>
                <w:szCs w:val="22"/>
                <w:lang w:val="en-US"/>
              </w:rPr>
              <w:t>Percent endorsement (latest year)</w:t>
            </w:r>
          </w:p>
        </w:tc>
        <w:tc>
          <w:tcPr>
            <w:tcW w:w="759" w:type="pct"/>
            <w:tcBorders>
              <w:top w:val="single" w:sz="2" w:space="0" w:color="106CB5"/>
              <w:bottom w:val="single" w:sz="2" w:space="0" w:color="106CB5"/>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 xml:space="preserve"> 88.9</w:t>
            </w:r>
          </w:p>
        </w:tc>
        <w:tc>
          <w:tcPr>
            <w:tcW w:w="759" w:type="pct"/>
            <w:tcBorders>
              <w:top w:val="single" w:sz="2" w:space="0" w:color="106CB5"/>
              <w:bottom w:val="single" w:sz="2" w:space="0" w:color="106CB5"/>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 xml:space="preserve"> 85.8</w:t>
            </w:r>
          </w:p>
        </w:tc>
        <w:tc>
          <w:tcPr>
            <w:tcW w:w="759" w:type="pct"/>
            <w:tcBorders>
              <w:top w:val="single" w:sz="2" w:space="0" w:color="106CB5"/>
              <w:bottom w:val="single" w:sz="2" w:space="0" w:color="106CB5"/>
            </w:tcBorders>
            <w:shd w:val="clear" w:color="auto" w:fill="D9D9D9"/>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 xml:space="preserve"> 79.2</w:t>
            </w:r>
          </w:p>
        </w:tc>
        <w:tc>
          <w:tcPr>
            <w:tcW w:w="759" w:type="pct"/>
            <w:tcBorders>
              <w:top w:val="single" w:sz="2" w:space="0" w:color="106CB5"/>
              <w:bottom w:val="single" w:sz="2" w:space="0" w:color="106CB5"/>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 xml:space="preserve"> 92.0</w:t>
            </w:r>
          </w:p>
        </w:tc>
      </w:tr>
      <w:bookmarkEnd w:id="1"/>
    </w:tbl>
    <w:p w:rsidR="00ED2B37" w:rsidRDefault="00D83B4B">
      <w:pPr>
        <w:pStyle w:val="ESBodyText"/>
      </w:pPr>
    </w:p>
    <w:p w:rsidR="00ED2B37" w:rsidRDefault="00D83B4B">
      <w:pPr>
        <w:pStyle w:val="ESBodyText"/>
      </w:pPr>
    </w:p>
    <w:p w:rsidR="00ED2B37" w:rsidRDefault="00D83B4B">
      <w:pPr>
        <w:pStyle w:val="ESBodyText"/>
        <w:rPr>
          <w:rFonts w:eastAsiaTheme="majorEastAsia" w:cstheme="majorBidi"/>
          <w:b/>
          <w:bCs/>
          <w:color w:val="00008B"/>
          <w:szCs w:val="20"/>
        </w:rPr>
      </w:pPr>
      <w:r>
        <w:rPr>
          <w:rFonts w:eastAsiaTheme="majorEastAsia" w:cstheme="majorBidi"/>
          <w:b/>
          <w:bCs/>
          <w:color w:val="00008B"/>
          <w:szCs w:val="20"/>
        </w:rPr>
        <w:t>School Staff Survey</w:t>
      </w:r>
    </w:p>
    <w:p w:rsidR="00ED2B37" w:rsidRDefault="00D83B4B">
      <w:pPr>
        <w:pStyle w:val="ESBodyText"/>
      </w:pPr>
      <w:r>
        <w:t>The percent endorsement by staff on School Climate, as reported in the annual School Staff Survey.</w:t>
      </w:r>
    </w:p>
    <w:p w:rsidR="00ED2B37" w:rsidRDefault="00D83B4B">
      <w:pPr>
        <w:pStyle w:val="ESBodyText"/>
      </w:pPr>
      <w:r>
        <w:t xml:space="preserve">Percent </w:t>
      </w:r>
      <w:r>
        <w:t>endorsement indicates the percent of positive responses (agree or strongly agree) from staff who responded to the survey.</w:t>
      </w:r>
    </w:p>
    <w:p w:rsidR="00ED2B37" w:rsidRDefault="00D83B4B">
      <w:pPr>
        <w:pStyle w:val="ESBodyText"/>
        <w:spacing w:after="240"/>
      </w:pPr>
      <w:r>
        <w:t>Data is suppressed for schools with three or less respondents to the survey for confidentiality reasons.</w:t>
      </w:r>
    </w:p>
    <w:tbl>
      <w:tblPr>
        <w:tblStyle w:val="GridTable2-Accent61"/>
        <w:tblW w:w="4853" w:type="pct"/>
        <w:jc w:val="center"/>
        <w:tblLook w:val="04A0" w:firstRow="1" w:lastRow="0" w:firstColumn="1" w:lastColumn="0" w:noHBand="0" w:noVBand="1"/>
        <w:tblCaption w:val="School staff survey results"/>
      </w:tblPr>
      <w:tblGrid>
        <w:gridCol w:w="3702"/>
        <w:gridCol w:w="1687"/>
        <w:gridCol w:w="1687"/>
        <w:gridCol w:w="1687"/>
        <w:gridCol w:w="1686"/>
      </w:tblGrid>
      <w:tr w:rsidR="0053212E" w:rsidTr="0053212E">
        <w:trPr>
          <w:cnfStyle w:val="100000000000" w:firstRow="1" w:lastRow="0" w:firstColumn="0" w:lastColumn="0" w:oddVBand="0" w:evenVBand="0" w:oddHBand="0" w:evenHBand="0" w:firstRowFirstColumn="0" w:firstRowLastColumn="0" w:lastRowFirstColumn="0" w:lastRowLastColumn="0"/>
          <w:trHeight w:val="419"/>
          <w:tblHeader/>
          <w:jc w:val="center"/>
        </w:trPr>
        <w:tc>
          <w:tcPr>
            <w:cnfStyle w:val="001000000000" w:firstRow="0" w:lastRow="0" w:firstColumn="1" w:lastColumn="0" w:oddVBand="0" w:evenVBand="0" w:oddHBand="0" w:evenHBand="0" w:firstRowFirstColumn="0" w:firstRowLastColumn="0" w:lastRowFirstColumn="0" w:lastRowLastColumn="0"/>
            <w:tcW w:w="1771" w:type="pct"/>
            <w:tcBorders>
              <w:bottom w:val="single" w:sz="12" w:space="0" w:color="FFFFFF"/>
            </w:tcBorders>
            <w:shd w:val="clear" w:color="auto" w:fill="106CB5"/>
            <w:vAlign w:val="center"/>
            <w:hideMark/>
          </w:tcPr>
          <w:p w:rsidR="00ED2B37" w:rsidRDefault="00D83B4B">
            <w:pPr>
              <w:spacing w:before="40" w:after="40" w:line="240" w:lineRule="auto"/>
              <w:rPr>
                <w:rFonts w:cs="Times New Roman"/>
                <w:color w:val="FFFFFF"/>
                <w:szCs w:val="22"/>
              </w:rPr>
            </w:pPr>
            <w:r>
              <w:rPr>
                <w:rFonts w:cs="Times New Roman"/>
                <w:color w:val="FFFFFF"/>
                <w:szCs w:val="22"/>
              </w:rPr>
              <w:t>School Climate</w:t>
            </w:r>
          </w:p>
        </w:tc>
        <w:tc>
          <w:tcPr>
            <w:tcW w:w="807" w:type="pct"/>
            <w:tcBorders>
              <w:bottom w:val="single" w:sz="12" w:space="0" w:color="FFFFFF"/>
            </w:tcBorders>
            <w:shd w:val="clear" w:color="auto" w:fill="106CB5"/>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color w:val="FFFFFF"/>
                <w:szCs w:val="22"/>
              </w:rPr>
              <w:t>School</w:t>
            </w:r>
          </w:p>
        </w:tc>
        <w:tc>
          <w:tcPr>
            <w:tcW w:w="807" w:type="pct"/>
            <w:tcBorders>
              <w:bottom w:val="single" w:sz="12" w:space="0" w:color="FFFFFF"/>
            </w:tcBorders>
            <w:shd w:val="clear" w:color="auto" w:fill="106CB5"/>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color w:val="FFFFFF"/>
                <w:szCs w:val="22"/>
              </w:rPr>
              <w:t>State M</w:t>
            </w:r>
            <w:r>
              <w:rPr>
                <w:rFonts w:cs="Times New Roman"/>
                <w:color w:val="FFFFFF"/>
                <w:szCs w:val="22"/>
              </w:rPr>
              <w:t>edian</w:t>
            </w:r>
          </w:p>
        </w:tc>
        <w:tc>
          <w:tcPr>
            <w:tcW w:w="807" w:type="pct"/>
            <w:tcBorders>
              <w:bottom w:val="single" w:sz="12" w:space="0" w:color="FFFFFF"/>
            </w:tcBorders>
            <w:shd w:val="clear" w:color="auto" w:fill="106CB5"/>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Middle 60 percent low</w:t>
            </w:r>
          </w:p>
        </w:tc>
        <w:tc>
          <w:tcPr>
            <w:tcW w:w="807" w:type="pct"/>
            <w:tcBorders>
              <w:bottom w:val="single" w:sz="12" w:space="0" w:color="FFFFFF"/>
            </w:tcBorders>
            <w:shd w:val="clear" w:color="auto" w:fill="106CB5"/>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Middle 60 percent high</w:t>
            </w:r>
          </w:p>
        </w:tc>
      </w:tr>
      <w:tr w:rsidR="0053212E" w:rsidTr="0053212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71"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rPr>
                <w:rFonts w:cs="Times New Roman"/>
                <w:szCs w:val="22"/>
              </w:rPr>
            </w:pPr>
          </w:p>
        </w:tc>
        <w:tc>
          <w:tcPr>
            <w:tcW w:w="807"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807"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807" w:type="pct"/>
            <w:tcBorders>
              <w:top w:val="single" w:sz="12" w:space="0" w:color="FFFFFF"/>
              <w:bottom w:val="single" w:sz="2" w:space="0" w:color="106CB5"/>
            </w:tcBorders>
            <w:shd w:val="clear" w:color="auto" w:fill="FFFFFF"/>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807"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r>
      <w:tr w:rsidR="0053212E" w:rsidTr="005321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1" w:type="pct"/>
            <w:tcBorders>
              <w:top w:val="single" w:sz="2" w:space="0" w:color="106CB5"/>
              <w:bottom w:val="single" w:sz="2" w:space="0" w:color="106CB5"/>
            </w:tcBorders>
            <w:shd w:val="clear" w:color="auto" w:fill="D9D9D9"/>
            <w:noWrap/>
            <w:vAlign w:val="center"/>
            <w:hideMark/>
          </w:tcPr>
          <w:p w:rsidR="00ED2B37" w:rsidRDefault="00D83B4B">
            <w:pPr>
              <w:spacing w:before="40" w:after="40" w:line="240" w:lineRule="auto"/>
              <w:rPr>
                <w:rFonts w:cs="Times New Roman"/>
                <w:szCs w:val="22"/>
              </w:rPr>
            </w:pPr>
            <w:r>
              <w:rPr>
                <w:rFonts w:cs="Times New Roman"/>
                <w:szCs w:val="22"/>
              </w:rPr>
              <w:t>Percent endorsement (latest year)</w:t>
            </w:r>
          </w:p>
        </w:tc>
        <w:tc>
          <w:tcPr>
            <w:tcW w:w="807" w:type="pct"/>
            <w:tcBorders>
              <w:top w:val="single" w:sz="2" w:space="0" w:color="106CB5"/>
              <w:bottom w:val="single" w:sz="2" w:space="0" w:color="106CB5"/>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 xml:space="preserve"> 74.8</w:t>
            </w:r>
          </w:p>
        </w:tc>
        <w:tc>
          <w:tcPr>
            <w:tcW w:w="807" w:type="pct"/>
            <w:tcBorders>
              <w:top w:val="single" w:sz="2" w:space="0" w:color="106CB5"/>
              <w:bottom w:val="single" w:sz="2" w:space="0" w:color="106CB5"/>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 xml:space="preserve"> 79.5</w:t>
            </w:r>
          </w:p>
        </w:tc>
        <w:tc>
          <w:tcPr>
            <w:tcW w:w="807" w:type="pct"/>
            <w:tcBorders>
              <w:top w:val="single" w:sz="2" w:space="0" w:color="106CB5"/>
              <w:bottom w:val="single" w:sz="2" w:space="0" w:color="106CB5"/>
            </w:tcBorders>
            <w:shd w:val="clear" w:color="auto" w:fill="D9D9D9"/>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 xml:space="preserve"> 68.5</w:t>
            </w:r>
          </w:p>
        </w:tc>
        <w:tc>
          <w:tcPr>
            <w:tcW w:w="807" w:type="pct"/>
            <w:tcBorders>
              <w:top w:val="single" w:sz="2" w:space="0" w:color="106CB5"/>
              <w:bottom w:val="single" w:sz="2" w:space="0" w:color="106CB5"/>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 xml:space="preserve"> 87.9</w:t>
            </w:r>
          </w:p>
        </w:tc>
      </w:tr>
    </w:tbl>
    <w:p w:rsidR="00ED2B37" w:rsidRDefault="00D83B4B">
      <w:pPr>
        <w:spacing w:after="0" w:line="240" w:lineRule="auto"/>
        <w:rPr>
          <w:rFonts w:eastAsiaTheme="majorEastAsia" w:cstheme="majorBidi"/>
          <w:b/>
          <w:bCs/>
          <w:caps/>
          <w:color w:val="AF272F"/>
          <w:sz w:val="20"/>
          <w:szCs w:val="20"/>
        </w:rPr>
      </w:pPr>
      <w:r>
        <w:br w:type="page"/>
      </w:r>
    </w:p>
    <w:p w:rsidR="00ED2B37" w:rsidRDefault="00D83B4B">
      <w:pPr>
        <w:pStyle w:val="ESBodyText"/>
        <w:ind w:left="567" w:hanging="567"/>
        <w:rPr>
          <w:b/>
          <w:i/>
        </w:rPr>
      </w:pPr>
      <w:r>
        <w:rPr>
          <w:b/>
          <w:i/>
        </w:rPr>
        <w:lastRenderedPageBreak/>
        <w:t>Key:</w:t>
      </w:r>
      <w:r>
        <w:rPr>
          <w:b/>
          <w:i/>
        </w:rPr>
        <w:tab/>
        <w:t>“Middle 60 percent low” to “middle 60 percent high” is the range of results for the middle 60 percent of</w:t>
      </w:r>
      <w:r>
        <w:rPr>
          <w:b/>
          <w:i/>
        </w:rPr>
        <w:t xml:space="preserve"> Victorian Government primary year levels.</w:t>
      </w:r>
    </w:p>
    <w:p w:rsidR="00ED2B37" w:rsidRDefault="00D83B4B">
      <w:pPr>
        <w:pStyle w:val="ESBodyText"/>
        <w:ind w:left="567"/>
        <w:rPr>
          <w:b/>
          <w:i/>
        </w:rPr>
      </w:pPr>
      <w:r>
        <w:rPr>
          <w:b/>
          <w:i/>
        </w:rPr>
        <w:t>“Similar School Comparison” is a way of comparing school performance to similar schools in Victoria that takes into account the school’s socioeconomic background of students, the number of non-English speaking stu</w:t>
      </w:r>
      <w:r>
        <w:rPr>
          <w:b/>
          <w:i/>
        </w:rPr>
        <w:t xml:space="preserve">dents and the size and location of the school. . Possible Similar School Comparison values are ‘Similar’, ‘Above’ or ‘Below’ relative to the similar schools group with similar characteristics. </w:t>
      </w:r>
    </w:p>
    <w:p w:rsidR="00ED2B37" w:rsidRDefault="00D83B4B">
      <w:pPr>
        <w:pStyle w:val="ESHeading2"/>
        <w:rPr>
          <w:color w:val="00008B"/>
          <w:u w:val="single"/>
        </w:rPr>
      </w:pPr>
      <w:r>
        <w:rPr>
          <w:color w:val="00008B"/>
          <w:u w:val="single"/>
        </w:rPr>
        <w:t>Achievement</w:t>
      </w:r>
    </w:p>
    <w:p w:rsidR="00ED2B37" w:rsidRDefault="00D83B4B">
      <w:pPr>
        <w:pStyle w:val="ESBodyText"/>
        <w:rPr>
          <w:rFonts w:eastAsiaTheme="majorEastAsia" w:cstheme="majorBidi"/>
          <w:b/>
          <w:bCs/>
          <w:color w:val="00008B"/>
          <w:szCs w:val="20"/>
        </w:rPr>
      </w:pPr>
      <w:r>
        <w:rPr>
          <w:rFonts w:eastAsiaTheme="majorEastAsia" w:cstheme="majorBidi"/>
          <w:b/>
          <w:bCs/>
          <w:color w:val="00008B"/>
          <w:szCs w:val="20"/>
        </w:rPr>
        <w:t>Teacher Judgement of student achievement</w:t>
      </w:r>
    </w:p>
    <w:p w:rsidR="00ED2B37" w:rsidRDefault="00D83B4B">
      <w:pPr>
        <w:pStyle w:val="ESBodyText"/>
      </w:pPr>
      <w:r>
        <w:t>Percentag</w:t>
      </w:r>
      <w:r>
        <w:t>e of students in year levels Prep to 6 working at or above age expected standards in:</w:t>
      </w:r>
    </w:p>
    <w:p w:rsidR="00ED2B37" w:rsidRDefault="00D83B4B">
      <w:pPr>
        <w:pStyle w:val="ESBodyText"/>
        <w:numPr>
          <w:ilvl w:val="0"/>
          <w:numId w:val="27"/>
        </w:numPr>
      </w:pPr>
      <w:r>
        <w:t>English</w:t>
      </w:r>
    </w:p>
    <w:p w:rsidR="00ED2B37" w:rsidRDefault="00D83B4B">
      <w:pPr>
        <w:pStyle w:val="ESBodyText"/>
        <w:numPr>
          <w:ilvl w:val="0"/>
          <w:numId w:val="27"/>
        </w:numPr>
      </w:pPr>
      <w:r>
        <w:t>Mathematics</w:t>
      </w:r>
    </w:p>
    <w:p w:rsidR="00ED2B37" w:rsidRDefault="00D83B4B">
      <w:pPr>
        <w:pStyle w:val="ESBodyText"/>
      </w:pPr>
    </w:p>
    <w:tbl>
      <w:tblPr>
        <w:tblStyle w:val="GridTable2-Accent61"/>
        <w:tblW w:w="4850" w:type="pct"/>
        <w:jc w:val="center"/>
        <w:tblLook w:val="04A0" w:firstRow="1" w:lastRow="0" w:firstColumn="1" w:lastColumn="0" w:noHBand="0" w:noVBand="1"/>
        <w:tblCaption w:val="Teacher judgement of student achievement"/>
      </w:tblPr>
      <w:tblGrid>
        <w:gridCol w:w="4154"/>
        <w:gridCol w:w="1255"/>
        <w:gridCol w:w="1255"/>
        <w:gridCol w:w="1256"/>
        <w:gridCol w:w="1256"/>
        <w:gridCol w:w="1267"/>
      </w:tblGrid>
      <w:tr w:rsidR="0053212E" w:rsidTr="0053212E">
        <w:trPr>
          <w:cnfStyle w:val="100000000000" w:firstRow="1" w:lastRow="0" w:firstColumn="0" w:lastColumn="0" w:oddVBand="0" w:evenVBand="0" w:oddHBand="0" w:evenHBand="0" w:firstRowFirstColumn="0" w:firstRowLastColumn="0" w:lastRowFirstColumn="0" w:lastRowLastColumn="0"/>
          <w:trHeight w:val="619"/>
          <w:tblHeader/>
          <w:jc w:val="center"/>
        </w:trPr>
        <w:tc>
          <w:tcPr>
            <w:cnfStyle w:val="001000000000" w:firstRow="0" w:lastRow="0" w:firstColumn="1" w:lastColumn="0" w:oddVBand="0" w:evenVBand="0" w:oddHBand="0" w:evenHBand="0" w:firstRowFirstColumn="0" w:firstRowLastColumn="0" w:lastRowFirstColumn="0" w:lastRowLastColumn="0"/>
            <w:tcW w:w="1990" w:type="pct"/>
            <w:tcBorders>
              <w:bottom w:val="single" w:sz="12" w:space="0" w:color="FFFFFF"/>
            </w:tcBorders>
            <w:shd w:val="clear" w:color="auto" w:fill="106CB5"/>
            <w:vAlign w:val="center"/>
            <w:hideMark/>
          </w:tcPr>
          <w:p w:rsidR="00ED2B37" w:rsidRDefault="00D83B4B">
            <w:pPr>
              <w:spacing w:before="40" w:after="40" w:line="240" w:lineRule="auto"/>
              <w:rPr>
                <w:rFonts w:cs="Times New Roman"/>
                <w:color w:val="FFFFFF"/>
                <w:szCs w:val="22"/>
              </w:rPr>
            </w:pPr>
            <w:r>
              <w:rPr>
                <w:rFonts w:cs="Times New Roman"/>
                <w:color w:val="FFFFFF"/>
                <w:szCs w:val="22"/>
              </w:rPr>
              <w:t>Teacher Judgments at or above age expected standards (latest year)</w:t>
            </w:r>
          </w:p>
        </w:tc>
        <w:tc>
          <w:tcPr>
            <w:tcW w:w="602" w:type="pct"/>
            <w:tcBorders>
              <w:bottom w:val="single" w:sz="12" w:space="0" w:color="FFFFFF"/>
            </w:tcBorders>
            <w:shd w:val="clear" w:color="auto" w:fill="106CB5"/>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color w:val="FFFFFF"/>
                <w:szCs w:val="22"/>
              </w:rPr>
              <w:t>School</w:t>
            </w:r>
          </w:p>
        </w:tc>
        <w:tc>
          <w:tcPr>
            <w:tcW w:w="602" w:type="pct"/>
            <w:tcBorders>
              <w:bottom w:val="single" w:sz="12" w:space="0" w:color="FFFFFF"/>
            </w:tcBorders>
            <w:shd w:val="clear" w:color="auto" w:fill="106CB5"/>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color w:val="FFFFFF"/>
                <w:szCs w:val="22"/>
              </w:rPr>
              <w:t>State Median</w:t>
            </w:r>
          </w:p>
        </w:tc>
        <w:tc>
          <w:tcPr>
            <w:tcW w:w="602" w:type="pct"/>
            <w:tcBorders>
              <w:bottom w:val="single" w:sz="12" w:space="0" w:color="FFFFFF"/>
            </w:tcBorders>
            <w:shd w:val="clear" w:color="auto" w:fill="106CB5"/>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Middle 60 percent low</w:t>
            </w:r>
          </w:p>
        </w:tc>
        <w:tc>
          <w:tcPr>
            <w:tcW w:w="602" w:type="pct"/>
            <w:tcBorders>
              <w:bottom w:val="single" w:sz="12" w:space="0" w:color="FFFFFF"/>
            </w:tcBorders>
            <w:shd w:val="clear" w:color="auto" w:fill="106CB5"/>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Middle 60 percent high</w:t>
            </w:r>
          </w:p>
        </w:tc>
        <w:tc>
          <w:tcPr>
            <w:tcW w:w="602" w:type="pct"/>
            <w:tcBorders>
              <w:bottom w:val="single" w:sz="12" w:space="0" w:color="FFFFFF"/>
            </w:tcBorders>
            <w:shd w:val="clear" w:color="auto" w:fill="106CB5"/>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 xml:space="preserve">Similar School </w:t>
            </w:r>
            <w:r>
              <w:rPr>
                <w:rFonts w:cs="Times New Roman"/>
                <w:bCs w:val="0"/>
                <w:color w:val="FFFFFF"/>
                <w:szCs w:val="22"/>
              </w:rPr>
              <w:t>Comparison</w:t>
            </w:r>
          </w:p>
        </w:tc>
      </w:tr>
      <w:tr w:rsidR="0053212E" w:rsidTr="0053212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90"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rPr>
                <w:rFonts w:cs="Times New Roman"/>
                <w:szCs w:val="22"/>
              </w:rPr>
            </w:pPr>
            <w:r>
              <w:rPr>
                <w:rFonts w:cs="Times New Roman"/>
                <w:szCs w:val="22"/>
              </w:rPr>
              <w:t>Domain</w:t>
            </w:r>
          </w:p>
        </w:tc>
        <w:tc>
          <w:tcPr>
            <w:tcW w:w="602"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602"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602" w:type="pct"/>
            <w:tcBorders>
              <w:top w:val="single" w:sz="12" w:space="0" w:color="FFFFFF"/>
              <w:bottom w:val="single" w:sz="2" w:space="0" w:color="106CB5"/>
            </w:tcBorders>
            <w:shd w:val="clear" w:color="auto" w:fill="FFFFFF"/>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602"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602" w:type="pct"/>
            <w:tcBorders>
              <w:top w:val="single" w:sz="12" w:space="0" w:color="FFFFFF"/>
              <w:bottom w:val="single" w:sz="2" w:space="0" w:color="106CB5"/>
            </w:tcBorders>
            <w:shd w:val="clear" w:color="auto" w:fill="FFFFFF"/>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p>
        </w:tc>
      </w:tr>
      <w:tr w:rsidR="0053212E" w:rsidTr="005321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pct"/>
            <w:tcBorders>
              <w:top w:val="single" w:sz="2" w:space="0" w:color="106CB5"/>
              <w:bottom w:val="single" w:sz="2" w:space="0" w:color="106CB5"/>
            </w:tcBorders>
            <w:shd w:val="clear" w:color="auto" w:fill="D9D9D9"/>
            <w:noWrap/>
            <w:vAlign w:val="center"/>
          </w:tcPr>
          <w:p w:rsidR="00ED2B37" w:rsidRDefault="00D83B4B">
            <w:pPr>
              <w:spacing w:before="40" w:after="40" w:line="240" w:lineRule="auto"/>
              <w:rPr>
                <w:rFonts w:cs="Times New Roman"/>
                <w:szCs w:val="22"/>
              </w:rPr>
            </w:pPr>
            <w:r>
              <w:rPr>
                <w:rFonts w:cs="Times New Roman"/>
                <w:b w:val="0"/>
                <w:szCs w:val="22"/>
              </w:rPr>
              <w:t>English</w:t>
            </w:r>
          </w:p>
        </w:tc>
        <w:tc>
          <w:tcPr>
            <w:tcW w:w="602" w:type="pct"/>
            <w:tcBorders>
              <w:top w:val="single" w:sz="2" w:space="0" w:color="106CB5"/>
              <w:bottom w:val="single" w:sz="2" w:space="0" w:color="106CB5"/>
            </w:tcBorders>
            <w:shd w:val="clear" w:color="auto" w:fill="D9D9D9"/>
            <w:noWrap/>
            <w:vAlign w:val="bottom"/>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96.8</w:t>
            </w:r>
          </w:p>
        </w:tc>
        <w:tc>
          <w:tcPr>
            <w:tcW w:w="602" w:type="pct"/>
            <w:tcBorders>
              <w:top w:val="single" w:sz="2" w:space="0" w:color="106CB5"/>
              <w:bottom w:val="single" w:sz="2" w:space="0" w:color="106CB5"/>
            </w:tcBorders>
            <w:shd w:val="clear" w:color="auto" w:fill="D9D9D9"/>
            <w:noWrap/>
            <w:vAlign w:val="bottom"/>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89.7</w:t>
            </w:r>
          </w:p>
        </w:tc>
        <w:tc>
          <w:tcPr>
            <w:tcW w:w="602" w:type="pct"/>
            <w:tcBorders>
              <w:top w:val="single" w:sz="2" w:space="0" w:color="106CB5"/>
              <w:bottom w:val="single" w:sz="2" w:space="0" w:color="106CB5"/>
            </w:tcBorders>
            <w:shd w:val="clear" w:color="auto" w:fill="D9D9D9"/>
            <w:vAlign w:val="bottom"/>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81.7</w:t>
            </w:r>
          </w:p>
        </w:tc>
        <w:tc>
          <w:tcPr>
            <w:tcW w:w="602" w:type="pct"/>
            <w:tcBorders>
              <w:top w:val="single" w:sz="2" w:space="0" w:color="106CB5"/>
              <w:bottom w:val="single" w:sz="2" w:space="0" w:color="106CB5"/>
            </w:tcBorders>
            <w:shd w:val="clear" w:color="auto" w:fill="D9D9D9"/>
            <w:noWrap/>
            <w:vAlign w:val="bottom"/>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95.0</w:t>
            </w:r>
          </w:p>
        </w:tc>
        <w:tc>
          <w:tcPr>
            <w:tcW w:w="602" w:type="pct"/>
            <w:tcBorders>
              <w:top w:val="single" w:sz="2" w:space="0" w:color="106CB5"/>
              <w:bottom w:val="single" w:sz="2" w:space="0" w:color="106CB5"/>
            </w:tcBorders>
            <w:shd w:val="clear" w:color="auto" w:fill="D9D9D9"/>
            <w:vAlign w:val="bottom"/>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Similar</w:t>
            </w:r>
          </w:p>
        </w:tc>
      </w:tr>
      <w:tr w:rsidR="0053212E" w:rsidTr="0053212E">
        <w:trPr>
          <w:jc w:val="center"/>
        </w:trPr>
        <w:tc>
          <w:tcPr>
            <w:cnfStyle w:val="001000000000" w:firstRow="0" w:lastRow="0" w:firstColumn="1" w:lastColumn="0" w:oddVBand="0" w:evenVBand="0" w:oddHBand="0" w:evenHBand="0" w:firstRowFirstColumn="0" w:firstRowLastColumn="0" w:lastRowFirstColumn="0" w:lastRowLastColumn="0"/>
            <w:tcW w:w="1990" w:type="pct"/>
            <w:tcBorders>
              <w:top w:val="single" w:sz="2" w:space="0" w:color="106CB5"/>
              <w:bottom w:val="single" w:sz="2" w:space="0" w:color="106CB5"/>
            </w:tcBorders>
            <w:shd w:val="clear" w:color="auto" w:fill="auto"/>
            <w:noWrap/>
            <w:vAlign w:val="center"/>
            <w:hideMark/>
          </w:tcPr>
          <w:p w:rsidR="00ED2B37" w:rsidRDefault="00D83B4B">
            <w:pPr>
              <w:spacing w:before="40" w:after="40" w:line="240" w:lineRule="auto"/>
              <w:rPr>
                <w:rFonts w:cs="Times New Roman"/>
                <w:szCs w:val="22"/>
              </w:rPr>
            </w:pPr>
            <w:r>
              <w:rPr>
                <w:rFonts w:cs="Times New Roman"/>
                <w:b w:val="0"/>
                <w:szCs w:val="22"/>
              </w:rPr>
              <w:t>Mathematics</w:t>
            </w:r>
          </w:p>
        </w:tc>
        <w:tc>
          <w:tcPr>
            <w:tcW w:w="602" w:type="pct"/>
            <w:tcBorders>
              <w:top w:val="single" w:sz="2" w:space="0" w:color="106CB5"/>
              <w:bottom w:val="single" w:sz="2" w:space="0" w:color="106CB5"/>
            </w:tcBorders>
            <w:shd w:val="clear" w:color="auto" w:fill="auto"/>
            <w:noWrap/>
            <w:vAlign w:val="bottom"/>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97.8</w:t>
            </w:r>
          </w:p>
        </w:tc>
        <w:tc>
          <w:tcPr>
            <w:tcW w:w="602" w:type="pct"/>
            <w:tcBorders>
              <w:top w:val="single" w:sz="2" w:space="0" w:color="106CB5"/>
              <w:bottom w:val="single" w:sz="2" w:space="0" w:color="106CB5"/>
            </w:tcBorders>
            <w:shd w:val="clear" w:color="auto" w:fill="auto"/>
            <w:noWrap/>
            <w:vAlign w:val="bottom"/>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90.3</w:t>
            </w:r>
          </w:p>
        </w:tc>
        <w:tc>
          <w:tcPr>
            <w:tcW w:w="602" w:type="pct"/>
            <w:tcBorders>
              <w:top w:val="single" w:sz="2" w:space="0" w:color="106CB5"/>
              <w:bottom w:val="single" w:sz="2" w:space="0" w:color="106CB5"/>
            </w:tcBorders>
            <w:shd w:val="clear" w:color="auto" w:fill="auto"/>
            <w:vAlign w:val="bottom"/>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81.8</w:t>
            </w:r>
          </w:p>
        </w:tc>
        <w:tc>
          <w:tcPr>
            <w:tcW w:w="602" w:type="pct"/>
            <w:tcBorders>
              <w:top w:val="single" w:sz="2" w:space="0" w:color="106CB5"/>
              <w:bottom w:val="single" w:sz="2" w:space="0" w:color="106CB5"/>
            </w:tcBorders>
            <w:shd w:val="clear" w:color="auto" w:fill="auto"/>
            <w:noWrap/>
            <w:vAlign w:val="bottom"/>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95.8</w:t>
            </w:r>
          </w:p>
        </w:tc>
        <w:tc>
          <w:tcPr>
            <w:tcW w:w="602" w:type="pct"/>
            <w:tcBorders>
              <w:top w:val="single" w:sz="2" w:space="0" w:color="106CB5"/>
              <w:bottom w:val="single" w:sz="2" w:space="0" w:color="106CB5"/>
            </w:tcBorders>
            <w:vAlign w:val="bottom"/>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Above</w:t>
            </w:r>
          </w:p>
        </w:tc>
      </w:tr>
    </w:tbl>
    <w:p w:rsidR="00ED2B37" w:rsidRDefault="00D83B4B">
      <w:pPr>
        <w:pStyle w:val="ESBodyText"/>
      </w:pPr>
    </w:p>
    <w:p w:rsidR="00ED2B37" w:rsidRDefault="00D83B4B">
      <w:pPr>
        <w:pStyle w:val="ESBodyText"/>
        <w:rPr>
          <w:rFonts w:eastAsiaTheme="majorEastAsia" w:cstheme="majorBidi"/>
          <w:b/>
          <w:bCs/>
          <w:color w:val="00008B"/>
          <w:szCs w:val="20"/>
        </w:rPr>
      </w:pPr>
      <w:r>
        <w:rPr>
          <w:rFonts w:eastAsiaTheme="majorEastAsia" w:cstheme="majorBidi"/>
          <w:b/>
          <w:bCs/>
          <w:color w:val="00008B"/>
          <w:szCs w:val="20"/>
        </w:rPr>
        <w:t>NAPLAN Year 3 and Year 5</w:t>
      </w:r>
    </w:p>
    <w:p w:rsidR="00ED2B37" w:rsidRDefault="00D83B4B">
      <w:pPr>
        <w:pStyle w:val="ESBodyText"/>
      </w:pPr>
      <w:r>
        <w:t>The percentage of students in the top three bands of testing in NAPLAN at year levels 3 and 5.</w:t>
      </w:r>
    </w:p>
    <w:p w:rsidR="00ED2B37" w:rsidRDefault="00D83B4B">
      <w:pPr>
        <w:pStyle w:val="ESBodyText"/>
      </w:pPr>
      <w:r>
        <w:t>Year 3</w:t>
      </w:r>
      <w:r>
        <w:t xml:space="preserve"> assessments are reported on a scale from Bands 1 to 6.</w:t>
      </w:r>
    </w:p>
    <w:p w:rsidR="00ED2B37" w:rsidRDefault="00D83B4B">
      <w:pPr>
        <w:pStyle w:val="ESBodyText"/>
      </w:pPr>
      <w:r>
        <w:rPr>
          <w:rFonts w:eastAsia="Arial"/>
          <w:color w:val="000000"/>
        </w:rPr>
        <w:t>Year 5 assessments are reported on a scale from Bands 3 to 8.</w:t>
      </w:r>
    </w:p>
    <w:tbl>
      <w:tblPr>
        <w:tblStyle w:val="GridTable2-Accent611"/>
        <w:tblW w:w="10628" w:type="dxa"/>
        <w:jc w:val="center"/>
        <w:tblLayout w:type="fixed"/>
        <w:tblLook w:val="04A0" w:firstRow="1" w:lastRow="0" w:firstColumn="1" w:lastColumn="0" w:noHBand="0" w:noVBand="1"/>
        <w:tblCaption w:val="NAPLAN results - Year 3, Year 5, Year 7 and Year 9"/>
      </w:tblPr>
      <w:tblGrid>
        <w:gridCol w:w="2058"/>
        <w:gridCol w:w="2551"/>
        <w:gridCol w:w="1169"/>
        <w:gridCol w:w="1170"/>
        <w:gridCol w:w="1169"/>
        <w:gridCol w:w="1170"/>
        <w:gridCol w:w="1341"/>
      </w:tblGrid>
      <w:tr w:rsidR="0053212E" w:rsidTr="0053212E">
        <w:trPr>
          <w:cnfStyle w:val="100000000000" w:firstRow="1" w:lastRow="0" w:firstColumn="0" w:lastColumn="0" w:oddVBand="0" w:evenVBand="0" w:oddHBand="0" w:evenHBand="0" w:firstRowFirstColumn="0" w:firstRowLastColumn="0" w:lastRowFirstColumn="0" w:lastRowLastColumn="0"/>
          <w:trHeight w:val="611"/>
          <w:tblHeader/>
          <w:jc w:val="center"/>
        </w:trPr>
        <w:tc>
          <w:tcPr>
            <w:cnfStyle w:val="001000000000" w:firstRow="0" w:lastRow="0" w:firstColumn="1" w:lastColumn="0" w:oddVBand="0" w:evenVBand="0" w:oddHBand="0" w:evenHBand="0" w:firstRowFirstColumn="0" w:firstRowLastColumn="0" w:lastRowFirstColumn="0" w:lastRowLastColumn="0"/>
            <w:tcW w:w="2058" w:type="dxa"/>
            <w:tcBorders>
              <w:bottom w:val="single" w:sz="12" w:space="0" w:color="FFFFFF"/>
            </w:tcBorders>
            <w:shd w:val="clear" w:color="auto" w:fill="106CB5"/>
            <w:vAlign w:val="center"/>
          </w:tcPr>
          <w:p w:rsidR="00ED2B37" w:rsidRDefault="00D83B4B">
            <w:pPr>
              <w:spacing w:before="40" w:after="40" w:line="240" w:lineRule="auto"/>
              <w:rPr>
                <w:rFonts w:cs="Times New Roman"/>
                <w:color w:val="FFFFFF"/>
                <w:szCs w:val="22"/>
              </w:rPr>
            </w:pPr>
            <w:r>
              <w:rPr>
                <w:rFonts w:cs="Times New Roman"/>
                <w:bCs w:val="0"/>
                <w:color w:val="FFFFFF"/>
                <w:szCs w:val="22"/>
              </w:rPr>
              <w:t>NAPLAN top 3 bands</w:t>
            </w:r>
          </w:p>
          <w:p w:rsidR="00ED2B37" w:rsidRDefault="00D83B4B">
            <w:pPr>
              <w:spacing w:before="40" w:after="40" w:line="240" w:lineRule="auto"/>
              <w:rPr>
                <w:rFonts w:cs="Times New Roman"/>
                <w:color w:val="FFFFFF"/>
                <w:szCs w:val="22"/>
              </w:rPr>
            </w:pPr>
            <w:r>
              <w:rPr>
                <w:rFonts w:cs="Times New Roman"/>
                <w:bCs w:val="0"/>
                <w:color w:val="FFFFFF"/>
                <w:szCs w:val="22"/>
              </w:rPr>
              <w:t>(latest year)</w:t>
            </w:r>
          </w:p>
        </w:tc>
        <w:tc>
          <w:tcPr>
            <w:tcW w:w="2551" w:type="dxa"/>
            <w:tcBorders>
              <w:bottom w:val="single" w:sz="12" w:space="0" w:color="FFFFFF"/>
            </w:tcBorders>
            <w:shd w:val="clear" w:color="auto" w:fill="106CB5"/>
            <w:noWrap/>
            <w:vAlign w:val="center"/>
            <w:hideMark/>
          </w:tcPr>
          <w:p w:rsidR="00ED2B37" w:rsidRDefault="00D83B4B">
            <w:pPr>
              <w:spacing w:before="40" w:after="40" w:line="240" w:lineRule="auto"/>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bookmarkStart w:id="2" w:name="Table_5"/>
          </w:p>
        </w:tc>
        <w:tc>
          <w:tcPr>
            <w:tcW w:w="1169" w:type="dxa"/>
            <w:tcBorders>
              <w:bottom w:val="single" w:sz="12" w:space="0" w:color="FFFFFF"/>
            </w:tcBorders>
            <w:shd w:val="clear" w:color="auto" w:fill="106CB5"/>
            <w:noWrap/>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color w:val="FFFFFF"/>
                <w:szCs w:val="22"/>
              </w:rPr>
              <w:t>School</w:t>
            </w:r>
          </w:p>
        </w:tc>
        <w:tc>
          <w:tcPr>
            <w:tcW w:w="1170" w:type="dxa"/>
            <w:tcBorders>
              <w:bottom w:val="single" w:sz="12" w:space="0" w:color="FFFFFF"/>
            </w:tcBorders>
            <w:shd w:val="clear" w:color="auto" w:fill="106CB5"/>
            <w:noWrap/>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color w:val="FFFFFF"/>
                <w:szCs w:val="22"/>
              </w:rPr>
              <w:t>State Median</w:t>
            </w:r>
          </w:p>
        </w:tc>
        <w:tc>
          <w:tcPr>
            <w:tcW w:w="1169" w:type="dxa"/>
            <w:tcBorders>
              <w:bottom w:val="single" w:sz="12" w:space="0" w:color="FFFFFF"/>
            </w:tcBorders>
            <w:shd w:val="clear" w:color="auto" w:fill="106CB5"/>
            <w:noWrap/>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Middle 60 percent low</w:t>
            </w:r>
          </w:p>
        </w:tc>
        <w:tc>
          <w:tcPr>
            <w:tcW w:w="1170" w:type="dxa"/>
            <w:tcBorders>
              <w:bottom w:val="single" w:sz="12" w:space="0" w:color="FFFFFF"/>
            </w:tcBorders>
            <w:shd w:val="clear" w:color="auto" w:fill="106CB5"/>
            <w:noWrap/>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Middle 60 percent high</w:t>
            </w:r>
          </w:p>
        </w:tc>
        <w:tc>
          <w:tcPr>
            <w:tcW w:w="1341" w:type="dxa"/>
            <w:tcBorders>
              <w:bottom w:val="single" w:sz="12" w:space="0" w:color="FFFFFF"/>
            </w:tcBorders>
            <w:shd w:val="clear" w:color="auto" w:fill="106CB5"/>
            <w:noWrap/>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Similar School Comparison</w:t>
            </w:r>
          </w:p>
        </w:tc>
      </w:tr>
      <w:tr w:rsidR="0053212E" w:rsidTr="0053212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058" w:type="dxa"/>
            <w:tcBorders>
              <w:top w:val="single" w:sz="12" w:space="0" w:color="FFFFFF"/>
              <w:bottom w:val="single" w:sz="4" w:space="0" w:color="106CB5"/>
            </w:tcBorders>
            <w:shd w:val="clear" w:color="auto" w:fill="FFFFFF"/>
          </w:tcPr>
          <w:p w:rsidR="00ED2B37" w:rsidRDefault="00D83B4B">
            <w:pPr>
              <w:spacing w:before="40" w:after="40" w:line="240" w:lineRule="auto"/>
              <w:rPr>
                <w:rFonts w:cs="Times New Roman"/>
                <w:szCs w:val="22"/>
              </w:rPr>
            </w:pPr>
            <w:r>
              <w:rPr>
                <w:rFonts w:cs="Times New Roman"/>
                <w:szCs w:val="22"/>
              </w:rPr>
              <w:t>Year Level</w:t>
            </w:r>
          </w:p>
        </w:tc>
        <w:tc>
          <w:tcPr>
            <w:tcW w:w="2551" w:type="dxa"/>
            <w:tcBorders>
              <w:top w:val="single" w:sz="12" w:space="0" w:color="FFFFFF"/>
              <w:bottom w:val="single" w:sz="4" w:space="0" w:color="106CB5"/>
            </w:tcBorders>
            <w:shd w:val="clear" w:color="auto" w:fill="FFFFFF"/>
            <w:noWrap/>
            <w:vAlign w:val="center"/>
          </w:tcPr>
          <w:p w:rsidR="00ED2B37" w:rsidRDefault="00D83B4B">
            <w:pPr>
              <w:spacing w:before="40" w:after="40" w:line="240" w:lineRule="auto"/>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Domain - measure</w:t>
            </w:r>
          </w:p>
        </w:tc>
        <w:tc>
          <w:tcPr>
            <w:tcW w:w="1169" w:type="dxa"/>
            <w:tcBorders>
              <w:top w:val="single" w:sz="12" w:space="0" w:color="FFFFFF"/>
              <w:bottom w:val="single" w:sz="4"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1170" w:type="dxa"/>
            <w:tcBorders>
              <w:top w:val="single" w:sz="12" w:space="0" w:color="FFFFFF"/>
              <w:bottom w:val="single" w:sz="4"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1169" w:type="dxa"/>
            <w:tcBorders>
              <w:top w:val="single" w:sz="12" w:space="0" w:color="FFFFFF"/>
              <w:bottom w:val="single" w:sz="4"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1170" w:type="dxa"/>
            <w:tcBorders>
              <w:top w:val="single" w:sz="12" w:space="0" w:color="FFFFFF"/>
              <w:bottom w:val="single" w:sz="4"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1341" w:type="dxa"/>
            <w:tcBorders>
              <w:top w:val="single" w:sz="12" w:space="0" w:color="FFFFFF"/>
              <w:bottom w:val="single" w:sz="4"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p>
        </w:tc>
      </w:tr>
      <w:tr w:rsidR="0053212E" w:rsidTr="005321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58" w:type="dxa"/>
            <w:tcBorders>
              <w:top w:val="single" w:sz="4" w:space="0" w:color="106CB5"/>
              <w:bottom w:val="nil"/>
              <w:right w:val="single" w:sz="4" w:space="0" w:color="FFFFFF" w:themeColor="background1"/>
            </w:tcBorders>
            <w:shd w:val="clear" w:color="auto" w:fill="D9D9D9"/>
          </w:tcPr>
          <w:p w:rsidR="00ED2B37" w:rsidRDefault="00D83B4B">
            <w:pPr>
              <w:spacing w:before="40" w:after="40" w:line="240" w:lineRule="auto"/>
              <w:rPr>
                <w:rFonts w:cs="Times New Roman"/>
                <w:szCs w:val="22"/>
              </w:rPr>
            </w:pPr>
            <w:r>
              <w:rPr>
                <w:rFonts w:cs="Times New Roman"/>
                <w:b w:val="0"/>
                <w:szCs w:val="22"/>
              </w:rPr>
              <w:t>Year 3</w:t>
            </w:r>
          </w:p>
        </w:tc>
        <w:tc>
          <w:tcPr>
            <w:tcW w:w="2551" w:type="dxa"/>
            <w:tcBorders>
              <w:top w:val="single" w:sz="4" w:space="0" w:color="106CB5"/>
              <w:left w:val="single" w:sz="4" w:space="0" w:color="FFFFFF" w:themeColor="background1"/>
              <w:bottom w:val="nil"/>
              <w:right w:val="single" w:sz="4" w:space="0" w:color="FFFFFF" w:themeColor="background1"/>
            </w:tcBorders>
            <w:shd w:val="clear" w:color="auto" w:fill="D9D9D9"/>
            <w:noWrap/>
            <w:vAlign w:val="center"/>
          </w:tcPr>
          <w:p w:rsidR="00ED2B37" w:rsidRDefault="00D83B4B">
            <w:pPr>
              <w:spacing w:before="40" w:after="40" w:line="240" w:lineRule="auto"/>
              <w:cnfStyle w:val="000000100000" w:firstRow="0" w:lastRow="0" w:firstColumn="0" w:lastColumn="0" w:oddVBand="0" w:evenVBand="0" w:oddHBand="1" w:evenHBand="0" w:firstRowFirstColumn="0" w:firstRowLastColumn="0" w:lastRowFirstColumn="0" w:lastRowLastColumn="0"/>
              <w:rPr>
                <w:rFonts w:cs="Times New Roman"/>
                <w:szCs w:val="22"/>
              </w:rPr>
            </w:pPr>
            <w:r>
              <w:rPr>
                <w:rFonts w:cs="Times New Roman"/>
                <w:szCs w:val="22"/>
              </w:rPr>
              <w:t>Reading (latest year)</w:t>
            </w:r>
          </w:p>
        </w:tc>
        <w:tc>
          <w:tcPr>
            <w:tcW w:w="1169" w:type="dxa"/>
            <w:tcBorders>
              <w:top w:val="single" w:sz="4" w:space="0" w:color="106CB5"/>
              <w:left w:val="single" w:sz="4" w:space="0" w:color="FFFFFF" w:themeColor="background1"/>
              <w:bottom w:val="nil"/>
              <w:right w:val="single" w:sz="4" w:space="0" w:color="FFFFFF" w:themeColor="background1"/>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 xml:space="preserve">  92.2</w:t>
            </w:r>
          </w:p>
        </w:tc>
        <w:tc>
          <w:tcPr>
            <w:tcW w:w="1170" w:type="dxa"/>
            <w:tcBorders>
              <w:top w:val="single" w:sz="4" w:space="0" w:color="106CB5"/>
              <w:left w:val="single" w:sz="4" w:space="0" w:color="FFFFFF" w:themeColor="background1"/>
              <w:bottom w:val="nil"/>
              <w:right w:val="single" w:sz="4" w:space="0" w:color="FFFFFF" w:themeColor="background1"/>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76.5</w:t>
            </w:r>
          </w:p>
        </w:tc>
        <w:tc>
          <w:tcPr>
            <w:tcW w:w="1169" w:type="dxa"/>
            <w:tcBorders>
              <w:top w:val="single" w:sz="4" w:space="0" w:color="106CB5"/>
              <w:left w:val="single" w:sz="4" w:space="0" w:color="FFFFFF" w:themeColor="background1"/>
              <w:bottom w:val="nil"/>
              <w:right w:val="single" w:sz="4" w:space="0" w:color="FFFFFF" w:themeColor="background1"/>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60.0</w:t>
            </w:r>
          </w:p>
        </w:tc>
        <w:tc>
          <w:tcPr>
            <w:tcW w:w="1170" w:type="dxa"/>
            <w:tcBorders>
              <w:top w:val="single" w:sz="4" w:space="0" w:color="106CB5"/>
              <w:left w:val="single" w:sz="4" w:space="0" w:color="FFFFFF" w:themeColor="background1"/>
              <w:bottom w:val="nil"/>
              <w:right w:val="single" w:sz="4" w:space="0" w:color="FFFFFF" w:themeColor="background1"/>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90.0</w:t>
            </w:r>
          </w:p>
        </w:tc>
        <w:tc>
          <w:tcPr>
            <w:tcW w:w="1341" w:type="dxa"/>
            <w:tcBorders>
              <w:top w:val="single" w:sz="4" w:space="0" w:color="106CB5"/>
              <w:left w:val="single" w:sz="4" w:space="0" w:color="FFFFFF" w:themeColor="background1"/>
              <w:bottom w:val="nil"/>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Above</w:t>
            </w:r>
          </w:p>
        </w:tc>
      </w:tr>
      <w:tr w:rsidR="0053212E" w:rsidTr="0053212E">
        <w:trPr>
          <w:jc w:val="center"/>
        </w:trPr>
        <w:tc>
          <w:tcPr>
            <w:cnfStyle w:val="001000000000" w:firstRow="0" w:lastRow="0" w:firstColumn="1" w:lastColumn="0" w:oddVBand="0" w:evenVBand="0" w:oddHBand="0" w:evenHBand="0" w:firstRowFirstColumn="0" w:firstRowLastColumn="0" w:lastRowFirstColumn="0" w:lastRowLastColumn="0"/>
            <w:tcW w:w="2058" w:type="dxa"/>
            <w:tcBorders>
              <w:top w:val="nil"/>
              <w:bottom w:val="single" w:sz="2" w:space="0" w:color="106CB5"/>
              <w:right w:val="single" w:sz="2" w:space="0" w:color="FFFFFF"/>
            </w:tcBorders>
            <w:shd w:val="clear" w:color="auto" w:fill="auto"/>
          </w:tcPr>
          <w:p w:rsidR="00ED2B37" w:rsidRDefault="00D83B4B">
            <w:pPr>
              <w:spacing w:before="40" w:after="40" w:line="240" w:lineRule="auto"/>
              <w:rPr>
                <w:rFonts w:cs="Times New Roman"/>
                <w:szCs w:val="22"/>
              </w:rPr>
            </w:pPr>
            <w:r>
              <w:rPr>
                <w:rFonts w:cs="Times New Roman"/>
                <w:b w:val="0"/>
                <w:szCs w:val="22"/>
              </w:rPr>
              <w:t>Year 3</w:t>
            </w:r>
          </w:p>
        </w:tc>
        <w:tc>
          <w:tcPr>
            <w:tcW w:w="2551" w:type="dxa"/>
            <w:tcBorders>
              <w:top w:val="nil"/>
              <w:left w:val="single" w:sz="2" w:space="0" w:color="FFFFFF"/>
              <w:bottom w:val="single" w:sz="2" w:space="0" w:color="106CB5"/>
              <w:right w:val="single" w:sz="2" w:space="0" w:color="FFFFFF"/>
            </w:tcBorders>
            <w:shd w:val="clear" w:color="auto" w:fill="auto"/>
            <w:noWrap/>
            <w:vAlign w:val="center"/>
          </w:tcPr>
          <w:p w:rsidR="00ED2B37" w:rsidRDefault="00D83B4B">
            <w:pPr>
              <w:spacing w:before="40" w:after="40" w:line="240" w:lineRule="auto"/>
              <w:cnfStyle w:val="000000000000" w:firstRow="0" w:lastRow="0" w:firstColumn="0" w:lastColumn="0" w:oddVBand="0" w:evenVBand="0" w:oddHBand="0" w:evenHBand="0" w:firstRowFirstColumn="0" w:firstRowLastColumn="0" w:lastRowFirstColumn="0" w:lastRowLastColumn="0"/>
              <w:rPr>
                <w:rFonts w:cs="Times New Roman"/>
                <w:szCs w:val="22"/>
              </w:rPr>
            </w:pPr>
            <w:r>
              <w:rPr>
                <w:rFonts w:cs="Times New Roman"/>
                <w:szCs w:val="22"/>
              </w:rPr>
              <w:t>Numeracy (latest year)</w:t>
            </w:r>
          </w:p>
        </w:tc>
        <w:tc>
          <w:tcPr>
            <w:tcW w:w="1169" w:type="dxa"/>
            <w:tcBorders>
              <w:top w:val="nil"/>
              <w:left w:val="single" w:sz="2" w:space="0" w:color="FFFFFF"/>
              <w:bottom w:val="single" w:sz="2" w:space="0" w:color="106CB5"/>
              <w:right w:val="single" w:sz="2" w:space="0" w:color="FFFFFF"/>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 xml:space="preserve">  89.3</w:t>
            </w:r>
          </w:p>
        </w:tc>
        <w:tc>
          <w:tcPr>
            <w:tcW w:w="1170" w:type="dxa"/>
            <w:tcBorders>
              <w:top w:val="nil"/>
              <w:left w:val="single" w:sz="2" w:space="0" w:color="FFFFFF"/>
              <w:bottom w:val="single" w:sz="2" w:space="0" w:color="106CB5"/>
              <w:right w:val="single" w:sz="2" w:space="0" w:color="FFFFFF"/>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67.7</w:t>
            </w:r>
          </w:p>
        </w:tc>
        <w:tc>
          <w:tcPr>
            <w:tcW w:w="1169" w:type="dxa"/>
            <w:tcBorders>
              <w:top w:val="nil"/>
              <w:left w:val="single" w:sz="2" w:space="0" w:color="FFFFFF"/>
              <w:bottom w:val="single" w:sz="2" w:space="0" w:color="106CB5"/>
              <w:right w:val="single" w:sz="2" w:space="0" w:color="FFFFFF"/>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50.0</w:t>
            </w:r>
          </w:p>
        </w:tc>
        <w:tc>
          <w:tcPr>
            <w:tcW w:w="1170" w:type="dxa"/>
            <w:tcBorders>
              <w:top w:val="nil"/>
              <w:left w:val="single" w:sz="2" w:space="0" w:color="FFFFFF"/>
              <w:bottom w:val="single" w:sz="2" w:space="0" w:color="106CB5"/>
              <w:right w:val="single" w:sz="2" w:space="0" w:color="FFFFFF"/>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84.6</w:t>
            </w:r>
          </w:p>
        </w:tc>
        <w:tc>
          <w:tcPr>
            <w:tcW w:w="1341" w:type="dxa"/>
            <w:tcBorders>
              <w:top w:val="nil"/>
              <w:left w:val="single" w:sz="2" w:space="0" w:color="FFFFFF"/>
              <w:bottom w:val="single" w:sz="2" w:space="0" w:color="106CB5"/>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Above</w:t>
            </w:r>
          </w:p>
        </w:tc>
      </w:tr>
      <w:tr w:rsidR="0053212E" w:rsidTr="005321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58" w:type="dxa"/>
            <w:tcBorders>
              <w:top w:val="single" w:sz="2" w:space="0" w:color="106CB5"/>
              <w:bottom w:val="nil"/>
              <w:right w:val="single" w:sz="4" w:space="0" w:color="FFFFFF" w:themeColor="background1"/>
            </w:tcBorders>
            <w:shd w:val="clear" w:color="auto" w:fill="D9D9D9"/>
          </w:tcPr>
          <w:p w:rsidR="00ED2B37" w:rsidRDefault="00D83B4B">
            <w:pPr>
              <w:spacing w:before="40" w:after="40" w:line="240" w:lineRule="auto"/>
              <w:rPr>
                <w:rFonts w:cs="Times New Roman"/>
                <w:szCs w:val="22"/>
              </w:rPr>
            </w:pPr>
            <w:r>
              <w:rPr>
                <w:rFonts w:cs="Times New Roman"/>
                <w:b w:val="0"/>
                <w:szCs w:val="22"/>
              </w:rPr>
              <w:t>Year 5</w:t>
            </w:r>
          </w:p>
        </w:tc>
        <w:tc>
          <w:tcPr>
            <w:tcW w:w="2551" w:type="dxa"/>
            <w:tcBorders>
              <w:top w:val="single" w:sz="2" w:space="0" w:color="106CB5"/>
              <w:left w:val="single" w:sz="4" w:space="0" w:color="FFFFFF" w:themeColor="background1"/>
              <w:bottom w:val="nil"/>
              <w:right w:val="single" w:sz="4" w:space="0" w:color="FFFFFF" w:themeColor="background1"/>
            </w:tcBorders>
            <w:shd w:val="clear" w:color="auto" w:fill="D9D9D9"/>
            <w:noWrap/>
            <w:vAlign w:val="center"/>
          </w:tcPr>
          <w:p w:rsidR="00ED2B37" w:rsidRDefault="00D83B4B">
            <w:pPr>
              <w:spacing w:before="40" w:after="40" w:line="240" w:lineRule="auto"/>
              <w:cnfStyle w:val="000000100000" w:firstRow="0" w:lastRow="0" w:firstColumn="0" w:lastColumn="0" w:oddVBand="0" w:evenVBand="0" w:oddHBand="1" w:evenHBand="0" w:firstRowFirstColumn="0" w:firstRowLastColumn="0" w:lastRowFirstColumn="0" w:lastRowLastColumn="0"/>
              <w:rPr>
                <w:rFonts w:cs="Times New Roman"/>
                <w:szCs w:val="22"/>
              </w:rPr>
            </w:pPr>
            <w:r>
              <w:rPr>
                <w:rFonts w:cs="Times New Roman"/>
                <w:szCs w:val="22"/>
              </w:rPr>
              <w:t>Reading (latest year)</w:t>
            </w:r>
          </w:p>
        </w:tc>
        <w:tc>
          <w:tcPr>
            <w:tcW w:w="1169" w:type="dxa"/>
            <w:tcBorders>
              <w:top w:val="single" w:sz="2" w:space="0" w:color="106CB5"/>
              <w:left w:val="single" w:sz="4" w:space="0" w:color="FFFFFF" w:themeColor="background1"/>
              <w:bottom w:val="nil"/>
              <w:right w:val="single" w:sz="4" w:space="0" w:color="FFFFFF" w:themeColor="background1"/>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 xml:space="preserve">  84.8</w:t>
            </w:r>
          </w:p>
        </w:tc>
        <w:tc>
          <w:tcPr>
            <w:tcW w:w="1170" w:type="dxa"/>
            <w:tcBorders>
              <w:top w:val="single" w:sz="2" w:space="0" w:color="106CB5"/>
              <w:left w:val="single" w:sz="4" w:space="0" w:color="FFFFFF" w:themeColor="background1"/>
              <w:bottom w:val="nil"/>
              <w:right w:val="single" w:sz="4" w:space="0" w:color="FFFFFF" w:themeColor="background1"/>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67.6</w:t>
            </w:r>
          </w:p>
        </w:tc>
        <w:tc>
          <w:tcPr>
            <w:tcW w:w="1169" w:type="dxa"/>
            <w:tcBorders>
              <w:top w:val="single" w:sz="2" w:space="0" w:color="106CB5"/>
              <w:left w:val="single" w:sz="4" w:space="0" w:color="FFFFFF" w:themeColor="background1"/>
              <w:bottom w:val="nil"/>
              <w:right w:val="single" w:sz="4" w:space="0" w:color="FFFFFF" w:themeColor="background1"/>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50.0</w:t>
            </w:r>
          </w:p>
        </w:tc>
        <w:tc>
          <w:tcPr>
            <w:tcW w:w="1170" w:type="dxa"/>
            <w:tcBorders>
              <w:top w:val="single" w:sz="2" w:space="0" w:color="106CB5"/>
              <w:left w:val="single" w:sz="4" w:space="0" w:color="FFFFFF" w:themeColor="background1"/>
              <w:bottom w:val="nil"/>
              <w:right w:val="single" w:sz="4" w:space="0" w:color="FFFFFF" w:themeColor="background1"/>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83.1</w:t>
            </w:r>
          </w:p>
        </w:tc>
        <w:tc>
          <w:tcPr>
            <w:tcW w:w="1341" w:type="dxa"/>
            <w:tcBorders>
              <w:top w:val="single" w:sz="2" w:space="0" w:color="106CB5"/>
              <w:left w:val="single" w:sz="4" w:space="0" w:color="FFFFFF" w:themeColor="background1"/>
              <w:bottom w:val="nil"/>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Similar</w:t>
            </w:r>
          </w:p>
        </w:tc>
      </w:tr>
      <w:tr w:rsidR="0053212E" w:rsidTr="0053212E">
        <w:trPr>
          <w:jc w:val="center"/>
        </w:trPr>
        <w:tc>
          <w:tcPr>
            <w:cnfStyle w:val="001000000000" w:firstRow="0" w:lastRow="0" w:firstColumn="1" w:lastColumn="0" w:oddVBand="0" w:evenVBand="0" w:oddHBand="0" w:evenHBand="0" w:firstRowFirstColumn="0" w:firstRowLastColumn="0" w:lastRowFirstColumn="0" w:lastRowLastColumn="0"/>
            <w:tcW w:w="2058" w:type="dxa"/>
            <w:tcBorders>
              <w:top w:val="nil"/>
              <w:bottom w:val="single" w:sz="2" w:space="0" w:color="126CB5"/>
              <w:right w:val="single" w:sz="4" w:space="0" w:color="FFFFFF" w:themeColor="background1"/>
            </w:tcBorders>
            <w:shd w:val="clear" w:color="auto" w:fill="auto"/>
          </w:tcPr>
          <w:p w:rsidR="00ED2B37" w:rsidRDefault="00D83B4B">
            <w:pPr>
              <w:spacing w:before="40" w:after="40" w:line="240" w:lineRule="auto"/>
              <w:rPr>
                <w:rFonts w:cs="Times New Roman"/>
                <w:szCs w:val="22"/>
              </w:rPr>
            </w:pPr>
            <w:r>
              <w:rPr>
                <w:rFonts w:cs="Times New Roman"/>
                <w:b w:val="0"/>
                <w:szCs w:val="22"/>
              </w:rPr>
              <w:t>Year 5</w:t>
            </w:r>
          </w:p>
        </w:tc>
        <w:tc>
          <w:tcPr>
            <w:tcW w:w="2551" w:type="dxa"/>
            <w:tcBorders>
              <w:top w:val="nil"/>
              <w:left w:val="single" w:sz="4" w:space="0" w:color="FFFFFF" w:themeColor="background1"/>
              <w:bottom w:val="single" w:sz="2" w:space="0" w:color="126CB5"/>
              <w:right w:val="single" w:sz="4" w:space="0" w:color="FFFFFF" w:themeColor="background1"/>
            </w:tcBorders>
            <w:shd w:val="clear" w:color="auto" w:fill="auto"/>
            <w:noWrap/>
            <w:vAlign w:val="center"/>
          </w:tcPr>
          <w:p w:rsidR="00ED2B37" w:rsidRDefault="00D83B4B">
            <w:pPr>
              <w:spacing w:before="40" w:after="40" w:line="240" w:lineRule="auto"/>
              <w:cnfStyle w:val="000000000000" w:firstRow="0" w:lastRow="0" w:firstColumn="0" w:lastColumn="0" w:oddVBand="0" w:evenVBand="0" w:oddHBand="0" w:evenHBand="0" w:firstRowFirstColumn="0" w:firstRowLastColumn="0" w:lastRowFirstColumn="0" w:lastRowLastColumn="0"/>
              <w:rPr>
                <w:rFonts w:cs="Times New Roman"/>
                <w:szCs w:val="22"/>
              </w:rPr>
            </w:pPr>
            <w:r>
              <w:rPr>
                <w:rFonts w:cs="Times New Roman"/>
                <w:szCs w:val="22"/>
              </w:rPr>
              <w:t xml:space="preserve">Numeracy (latest </w:t>
            </w:r>
            <w:r>
              <w:rPr>
                <w:rFonts w:cs="Times New Roman"/>
                <w:szCs w:val="22"/>
              </w:rPr>
              <w:t>year)</w:t>
            </w:r>
          </w:p>
        </w:tc>
        <w:tc>
          <w:tcPr>
            <w:tcW w:w="1169" w:type="dxa"/>
            <w:tcBorders>
              <w:top w:val="nil"/>
              <w:left w:val="single" w:sz="4" w:space="0" w:color="FFFFFF" w:themeColor="background1"/>
              <w:bottom w:val="single" w:sz="2" w:space="0" w:color="126CB5"/>
              <w:right w:val="single" w:sz="4" w:space="0" w:color="FFFFFF" w:themeColor="background1"/>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 xml:space="preserve">  83.8</w:t>
            </w:r>
          </w:p>
        </w:tc>
        <w:tc>
          <w:tcPr>
            <w:tcW w:w="1170" w:type="dxa"/>
            <w:tcBorders>
              <w:top w:val="nil"/>
              <w:left w:val="single" w:sz="4" w:space="0" w:color="FFFFFF" w:themeColor="background1"/>
              <w:bottom w:val="single" w:sz="2" w:space="0" w:color="126CB5"/>
              <w:right w:val="single" w:sz="4" w:space="0" w:color="FFFFFF" w:themeColor="background1"/>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59.3</w:t>
            </w:r>
          </w:p>
        </w:tc>
        <w:tc>
          <w:tcPr>
            <w:tcW w:w="1169" w:type="dxa"/>
            <w:tcBorders>
              <w:top w:val="nil"/>
              <w:left w:val="single" w:sz="4" w:space="0" w:color="FFFFFF" w:themeColor="background1"/>
              <w:bottom w:val="single" w:sz="2" w:space="0" w:color="126CB5"/>
              <w:right w:val="single" w:sz="4" w:space="0" w:color="FFFFFF" w:themeColor="background1"/>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41.2</w:t>
            </w:r>
          </w:p>
        </w:tc>
        <w:tc>
          <w:tcPr>
            <w:tcW w:w="1170" w:type="dxa"/>
            <w:tcBorders>
              <w:top w:val="nil"/>
              <w:left w:val="single" w:sz="4" w:space="0" w:color="FFFFFF" w:themeColor="background1"/>
              <w:bottom w:val="single" w:sz="2" w:space="0" w:color="126CB5"/>
              <w:right w:val="single" w:sz="4" w:space="0" w:color="FFFFFF" w:themeColor="background1"/>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76.4</w:t>
            </w:r>
          </w:p>
        </w:tc>
        <w:tc>
          <w:tcPr>
            <w:tcW w:w="1341" w:type="dxa"/>
            <w:tcBorders>
              <w:top w:val="nil"/>
              <w:left w:val="single" w:sz="4" w:space="0" w:color="FFFFFF" w:themeColor="background1"/>
              <w:bottom w:val="single" w:sz="2" w:space="0" w:color="126CB5"/>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Similar</w:t>
            </w:r>
          </w:p>
        </w:tc>
      </w:tr>
      <w:bookmarkEnd w:id="2"/>
    </w:tbl>
    <w:p w:rsidR="00ED2B37" w:rsidRDefault="00D83B4B">
      <w:pPr>
        <w:pStyle w:val="ESBodyText"/>
      </w:pPr>
    </w:p>
    <w:tbl>
      <w:tblPr>
        <w:tblStyle w:val="GridTable2-Accent611"/>
        <w:tblW w:w="10628" w:type="dxa"/>
        <w:jc w:val="center"/>
        <w:tblLayout w:type="fixed"/>
        <w:tblLook w:val="04A0" w:firstRow="1" w:lastRow="0" w:firstColumn="1" w:lastColumn="0" w:noHBand="0" w:noVBand="1"/>
        <w:tblCaption w:val="NAPLAN 4 year Average Results - Year 3, Year 5, Year 7 and Year 9"/>
      </w:tblPr>
      <w:tblGrid>
        <w:gridCol w:w="2199"/>
        <w:gridCol w:w="2410"/>
        <w:gridCol w:w="1169"/>
        <w:gridCol w:w="1170"/>
        <w:gridCol w:w="1169"/>
        <w:gridCol w:w="1170"/>
        <w:gridCol w:w="1341"/>
      </w:tblGrid>
      <w:tr w:rsidR="0053212E" w:rsidTr="0053212E">
        <w:trPr>
          <w:cnfStyle w:val="100000000000" w:firstRow="1" w:lastRow="0" w:firstColumn="0" w:lastColumn="0" w:oddVBand="0" w:evenVBand="0" w:oddHBand="0" w:evenHBand="0" w:firstRowFirstColumn="0" w:firstRowLastColumn="0" w:lastRowFirstColumn="0" w:lastRowLastColumn="0"/>
          <w:trHeight w:val="632"/>
          <w:tblHeader/>
          <w:jc w:val="center"/>
        </w:trPr>
        <w:tc>
          <w:tcPr>
            <w:cnfStyle w:val="001000000000" w:firstRow="0" w:lastRow="0" w:firstColumn="1" w:lastColumn="0" w:oddVBand="0" w:evenVBand="0" w:oddHBand="0" w:evenHBand="0" w:firstRowFirstColumn="0" w:firstRowLastColumn="0" w:lastRowFirstColumn="0" w:lastRowLastColumn="0"/>
            <w:tcW w:w="2199" w:type="dxa"/>
            <w:tcBorders>
              <w:bottom w:val="single" w:sz="12" w:space="0" w:color="FFFFFF"/>
            </w:tcBorders>
            <w:shd w:val="clear" w:color="auto" w:fill="106CB5"/>
            <w:vAlign w:val="center"/>
          </w:tcPr>
          <w:p w:rsidR="00ED2B37" w:rsidRDefault="00D83B4B">
            <w:pPr>
              <w:spacing w:before="40" w:after="40" w:line="240" w:lineRule="auto"/>
              <w:rPr>
                <w:rFonts w:cs="Times New Roman"/>
                <w:color w:val="FFFFFF"/>
                <w:szCs w:val="22"/>
              </w:rPr>
            </w:pPr>
            <w:r>
              <w:rPr>
                <w:rFonts w:cs="Times New Roman"/>
                <w:bCs w:val="0"/>
                <w:color w:val="FFFFFF"/>
                <w:szCs w:val="22"/>
              </w:rPr>
              <w:t xml:space="preserve">NAPLAN top 3 bands </w:t>
            </w:r>
          </w:p>
          <w:p w:rsidR="00ED2B37" w:rsidRDefault="00D83B4B">
            <w:pPr>
              <w:spacing w:before="40" w:after="40" w:line="240" w:lineRule="auto"/>
              <w:rPr>
                <w:rFonts w:cs="Times New Roman"/>
                <w:color w:val="FFFFFF"/>
                <w:szCs w:val="22"/>
              </w:rPr>
            </w:pPr>
            <w:r>
              <w:rPr>
                <w:rFonts w:cs="Times New Roman"/>
                <w:bCs w:val="0"/>
                <w:color w:val="FFFFFF"/>
                <w:szCs w:val="22"/>
              </w:rPr>
              <w:t>(4 year average)</w:t>
            </w:r>
          </w:p>
        </w:tc>
        <w:tc>
          <w:tcPr>
            <w:tcW w:w="2410" w:type="dxa"/>
            <w:tcBorders>
              <w:bottom w:val="single" w:sz="12" w:space="0" w:color="FFFFFF"/>
            </w:tcBorders>
            <w:shd w:val="clear" w:color="auto" w:fill="106CB5"/>
            <w:noWrap/>
            <w:vAlign w:val="center"/>
            <w:hideMark/>
          </w:tcPr>
          <w:p w:rsidR="00ED2B37" w:rsidRDefault="00D83B4B">
            <w:pPr>
              <w:spacing w:before="40" w:after="40" w:line="240" w:lineRule="auto"/>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p>
        </w:tc>
        <w:tc>
          <w:tcPr>
            <w:tcW w:w="1169" w:type="dxa"/>
            <w:tcBorders>
              <w:bottom w:val="single" w:sz="12" w:space="0" w:color="FFFFFF"/>
            </w:tcBorders>
            <w:shd w:val="clear" w:color="auto" w:fill="106CB5"/>
            <w:noWrap/>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color w:val="FFFFFF"/>
                <w:szCs w:val="22"/>
              </w:rPr>
              <w:t>School</w:t>
            </w:r>
          </w:p>
        </w:tc>
        <w:tc>
          <w:tcPr>
            <w:tcW w:w="1170" w:type="dxa"/>
            <w:tcBorders>
              <w:bottom w:val="single" w:sz="12" w:space="0" w:color="FFFFFF"/>
            </w:tcBorders>
            <w:shd w:val="clear" w:color="auto" w:fill="106CB5"/>
            <w:noWrap/>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color w:val="FFFFFF"/>
                <w:szCs w:val="22"/>
              </w:rPr>
              <w:t>State Median</w:t>
            </w:r>
          </w:p>
        </w:tc>
        <w:tc>
          <w:tcPr>
            <w:tcW w:w="1169" w:type="dxa"/>
            <w:tcBorders>
              <w:bottom w:val="single" w:sz="12" w:space="0" w:color="FFFFFF"/>
            </w:tcBorders>
            <w:shd w:val="clear" w:color="auto" w:fill="106CB5"/>
            <w:noWrap/>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Middle 60 percent low</w:t>
            </w:r>
          </w:p>
        </w:tc>
        <w:tc>
          <w:tcPr>
            <w:tcW w:w="1170" w:type="dxa"/>
            <w:tcBorders>
              <w:bottom w:val="single" w:sz="12" w:space="0" w:color="FFFFFF"/>
            </w:tcBorders>
            <w:shd w:val="clear" w:color="auto" w:fill="106CB5"/>
            <w:noWrap/>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Middle 60 percent high</w:t>
            </w:r>
          </w:p>
        </w:tc>
        <w:tc>
          <w:tcPr>
            <w:tcW w:w="1341" w:type="dxa"/>
            <w:tcBorders>
              <w:bottom w:val="single" w:sz="12" w:space="0" w:color="FFFFFF"/>
            </w:tcBorders>
            <w:shd w:val="clear" w:color="auto" w:fill="106CB5"/>
            <w:noWrap/>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Similar School Comparison</w:t>
            </w:r>
          </w:p>
        </w:tc>
      </w:tr>
      <w:tr w:rsidR="0053212E" w:rsidTr="0053212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199" w:type="dxa"/>
            <w:tcBorders>
              <w:top w:val="single" w:sz="12" w:space="0" w:color="FFFFFF"/>
              <w:bottom w:val="single" w:sz="4" w:space="0" w:color="106CB5"/>
            </w:tcBorders>
            <w:shd w:val="clear" w:color="auto" w:fill="FFFFFF"/>
          </w:tcPr>
          <w:p w:rsidR="00ED2B37" w:rsidRDefault="00D83B4B">
            <w:pPr>
              <w:spacing w:before="40" w:after="40" w:line="240" w:lineRule="auto"/>
              <w:rPr>
                <w:rFonts w:cs="Times New Roman"/>
                <w:szCs w:val="22"/>
              </w:rPr>
            </w:pPr>
            <w:r>
              <w:rPr>
                <w:rFonts w:cs="Times New Roman"/>
                <w:szCs w:val="22"/>
              </w:rPr>
              <w:t>Year Level</w:t>
            </w:r>
          </w:p>
        </w:tc>
        <w:tc>
          <w:tcPr>
            <w:tcW w:w="2410" w:type="dxa"/>
            <w:tcBorders>
              <w:top w:val="single" w:sz="12" w:space="0" w:color="FFFFFF"/>
              <w:bottom w:val="single" w:sz="4" w:space="0" w:color="106CB5"/>
            </w:tcBorders>
            <w:shd w:val="clear" w:color="auto" w:fill="FFFFFF"/>
            <w:noWrap/>
            <w:vAlign w:val="center"/>
          </w:tcPr>
          <w:p w:rsidR="00ED2B37" w:rsidRDefault="00D83B4B">
            <w:pPr>
              <w:spacing w:before="40" w:after="40" w:line="240" w:lineRule="auto"/>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Domain - measure</w:t>
            </w:r>
          </w:p>
        </w:tc>
        <w:tc>
          <w:tcPr>
            <w:tcW w:w="1169" w:type="dxa"/>
            <w:tcBorders>
              <w:top w:val="single" w:sz="12" w:space="0" w:color="FFFFFF"/>
              <w:bottom w:val="single" w:sz="4"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1170" w:type="dxa"/>
            <w:tcBorders>
              <w:top w:val="single" w:sz="12" w:space="0" w:color="FFFFFF"/>
              <w:bottom w:val="single" w:sz="4"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1169" w:type="dxa"/>
            <w:tcBorders>
              <w:top w:val="single" w:sz="12" w:space="0" w:color="FFFFFF"/>
              <w:bottom w:val="single" w:sz="4"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1170" w:type="dxa"/>
            <w:tcBorders>
              <w:top w:val="single" w:sz="12" w:space="0" w:color="FFFFFF"/>
              <w:bottom w:val="single" w:sz="4"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1341" w:type="dxa"/>
            <w:tcBorders>
              <w:top w:val="single" w:sz="12" w:space="0" w:color="FFFFFF"/>
              <w:bottom w:val="single" w:sz="4"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p>
        </w:tc>
      </w:tr>
      <w:tr w:rsidR="0053212E" w:rsidTr="005321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9" w:type="dxa"/>
            <w:tcBorders>
              <w:top w:val="single" w:sz="4" w:space="0" w:color="106CB5"/>
              <w:bottom w:val="single" w:sz="4" w:space="0" w:color="FFFFFF" w:themeColor="background1"/>
              <w:right w:val="single" w:sz="4" w:space="0" w:color="FFFFFF" w:themeColor="background1"/>
            </w:tcBorders>
            <w:shd w:val="clear" w:color="auto" w:fill="D9D9D9" w:themeFill="background1" w:themeFillShade="D9"/>
          </w:tcPr>
          <w:p w:rsidR="00ED2B37" w:rsidRDefault="00D83B4B">
            <w:pPr>
              <w:spacing w:before="40" w:after="40" w:line="240" w:lineRule="auto"/>
              <w:rPr>
                <w:rFonts w:cs="Times New Roman"/>
                <w:szCs w:val="22"/>
              </w:rPr>
            </w:pPr>
            <w:r>
              <w:rPr>
                <w:rFonts w:cs="Times New Roman"/>
                <w:b w:val="0"/>
                <w:szCs w:val="22"/>
              </w:rPr>
              <w:t>Year 3</w:t>
            </w:r>
          </w:p>
        </w:tc>
        <w:tc>
          <w:tcPr>
            <w:tcW w:w="2410" w:type="dxa"/>
            <w:tcBorders>
              <w:top w:val="single" w:sz="4" w:space="0" w:color="106CB5"/>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center"/>
          </w:tcPr>
          <w:p w:rsidR="00ED2B37" w:rsidRDefault="00D83B4B">
            <w:pPr>
              <w:spacing w:before="40" w:after="40" w:line="240" w:lineRule="auto"/>
              <w:cnfStyle w:val="000000100000" w:firstRow="0" w:lastRow="0" w:firstColumn="0" w:lastColumn="0" w:oddVBand="0" w:evenVBand="0" w:oddHBand="1" w:evenHBand="0" w:firstRowFirstColumn="0" w:firstRowLastColumn="0" w:lastRowFirstColumn="0" w:lastRowLastColumn="0"/>
              <w:rPr>
                <w:rFonts w:cs="Times New Roman"/>
                <w:bCs/>
                <w:szCs w:val="22"/>
              </w:rPr>
            </w:pPr>
            <w:r>
              <w:rPr>
                <w:rFonts w:cs="Times New Roman"/>
                <w:bCs/>
                <w:szCs w:val="22"/>
              </w:rPr>
              <w:t xml:space="preserve">Reading (4 year </w:t>
            </w:r>
            <w:r>
              <w:rPr>
                <w:rFonts w:cs="Times New Roman"/>
                <w:bCs/>
                <w:szCs w:val="22"/>
              </w:rPr>
              <w:t>average)</w:t>
            </w:r>
          </w:p>
        </w:tc>
        <w:tc>
          <w:tcPr>
            <w:tcW w:w="1169" w:type="dxa"/>
            <w:tcBorders>
              <w:top w:val="single" w:sz="4" w:space="0" w:color="106CB5"/>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 xml:space="preserve">  89.1</w:t>
            </w:r>
          </w:p>
        </w:tc>
        <w:tc>
          <w:tcPr>
            <w:tcW w:w="1170" w:type="dxa"/>
            <w:tcBorders>
              <w:top w:val="single" w:sz="4" w:space="0" w:color="106CB5"/>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73.0</w:t>
            </w:r>
          </w:p>
        </w:tc>
        <w:tc>
          <w:tcPr>
            <w:tcW w:w="1169" w:type="dxa"/>
            <w:tcBorders>
              <w:top w:val="single" w:sz="4" w:space="0" w:color="106CB5"/>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59.7</w:t>
            </w:r>
          </w:p>
        </w:tc>
        <w:tc>
          <w:tcPr>
            <w:tcW w:w="1170" w:type="dxa"/>
            <w:tcBorders>
              <w:top w:val="single" w:sz="4" w:space="0" w:color="106CB5"/>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84.9</w:t>
            </w:r>
          </w:p>
        </w:tc>
        <w:tc>
          <w:tcPr>
            <w:tcW w:w="1341" w:type="dxa"/>
            <w:tcBorders>
              <w:top w:val="single" w:sz="4" w:space="0" w:color="106CB5"/>
              <w:left w:val="single" w:sz="4" w:space="0" w:color="FFFFFF" w:themeColor="background1"/>
              <w:bottom w:val="single" w:sz="4" w:space="0" w:color="FFFFFF" w:themeColor="background1"/>
            </w:tcBorders>
            <w:shd w:val="clear" w:color="auto" w:fill="D9D9D9" w:themeFill="background1" w:themeFillShade="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w:t>
            </w:r>
          </w:p>
        </w:tc>
      </w:tr>
      <w:tr w:rsidR="0053212E" w:rsidTr="0053212E">
        <w:trPr>
          <w:jc w:val="center"/>
        </w:trPr>
        <w:tc>
          <w:tcPr>
            <w:cnfStyle w:val="001000000000" w:firstRow="0" w:lastRow="0" w:firstColumn="1" w:lastColumn="0" w:oddVBand="0" w:evenVBand="0" w:oddHBand="0" w:evenHBand="0" w:firstRowFirstColumn="0" w:firstRowLastColumn="0" w:lastRowFirstColumn="0" w:lastRowLastColumn="0"/>
            <w:tcW w:w="2199" w:type="dxa"/>
            <w:tcBorders>
              <w:top w:val="single" w:sz="4" w:space="0" w:color="FFFFFF" w:themeColor="background1"/>
              <w:bottom w:val="single" w:sz="4" w:space="0" w:color="126CB5"/>
              <w:right w:val="single" w:sz="4" w:space="0" w:color="FFFFFF" w:themeColor="background1"/>
            </w:tcBorders>
            <w:shd w:val="clear" w:color="auto" w:fill="auto"/>
          </w:tcPr>
          <w:p w:rsidR="00ED2B37" w:rsidRDefault="00D83B4B">
            <w:pPr>
              <w:spacing w:before="40" w:after="40" w:line="240" w:lineRule="auto"/>
              <w:rPr>
                <w:rFonts w:cs="Times New Roman"/>
                <w:szCs w:val="22"/>
              </w:rPr>
            </w:pPr>
            <w:r>
              <w:rPr>
                <w:rFonts w:cs="Times New Roman"/>
                <w:b w:val="0"/>
                <w:szCs w:val="22"/>
              </w:rPr>
              <w:t>Year 3</w:t>
            </w:r>
          </w:p>
        </w:tc>
        <w:tc>
          <w:tcPr>
            <w:tcW w:w="2410" w:type="dxa"/>
            <w:tcBorders>
              <w:top w:val="single" w:sz="4" w:space="0" w:color="FFFFFF" w:themeColor="background1"/>
              <w:left w:val="single" w:sz="4" w:space="0" w:color="FFFFFF" w:themeColor="background1"/>
              <w:bottom w:val="single" w:sz="4" w:space="0" w:color="126CB5"/>
              <w:right w:val="single" w:sz="4" w:space="0" w:color="FFFFFF" w:themeColor="background1"/>
            </w:tcBorders>
            <w:shd w:val="clear" w:color="auto" w:fill="auto"/>
            <w:noWrap/>
            <w:vAlign w:val="center"/>
          </w:tcPr>
          <w:p w:rsidR="00ED2B37" w:rsidRDefault="00D83B4B">
            <w:pPr>
              <w:spacing w:before="40" w:after="40" w:line="240" w:lineRule="auto"/>
              <w:cnfStyle w:val="000000000000" w:firstRow="0" w:lastRow="0" w:firstColumn="0" w:lastColumn="0" w:oddVBand="0" w:evenVBand="0" w:oddHBand="0" w:evenHBand="0" w:firstRowFirstColumn="0" w:firstRowLastColumn="0" w:lastRowFirstColumn="0" w:lastRowLastColumn="0"/>
              <w:rPr>
                <w:rFonts w:cs="Times New Roman"/>
                <w:szCs w:val="22"/>
              </w:rPr>
            </w:pPr>
            <w:r>
              <w:rPr>
                <w:rFonts w:cs="Times New Roman"/>
                <w:szCs w:val="22"/>
              </w:rPr>
              <w:t>Numeracy (4 year average)</w:t>
            </w:r>
          </w:p>
        </w:tc>
        <w:tc>
          <w:tcPr>
            <w:tcW w:w="1169" w:type="dxa"/>
            <w:tcBorders>
              <w:top w:val="single" w:sz="4" w:space="0" w:color="FFFFFF" w:themeColor="background1"/>
              <w:left w:val="single" w:sz="4" w:space="0" w:color="FFFFFF" w:themeColor="background1"/>
              <w:bottom w:val="single" w:sz="4" w:space="0" w:color="126CB5"/>
              <w:right w:val="single" w:sz="4" w:space="0" w:color="FFFFFF" w:themeColor="background1"/>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 xml:space="preserve">  87.0</w:t>
            </w:r>
          </w:p>
        </w:tc>
        <w:tc>
          <w:tcPr>
            <w:tcW w:w="1170" w:type="dxa"/>
            <w:tcBorders>
              <w:top w:val="single" w:sz="4" w:space="0" w:color="FFFFFF" w:themeColor="background1"/>
              <w:left w:val="single" w:sz="4" w:space="0" w:color="FFFFFF" w:themeColor="background1"/>
              <w:bottom w:val="single" w:sz="4" w:space="0" w:color="126CB5"/>
              <w:right w:val="single" w:sz="4" w:space="0" w:color="FFFFFF" w:themeColor="background1"/>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67.1</w:t>
            </w:r>
          </w:p>
        </w:tc>
        <w:tc>
          <w:tcPr>
            <w:tcW w:w="1169" w:type="dxa"/>
            <w:tcBorders>
              <w:top w:val="single" w:sz="4" w:space="0" w:color="FFFFFF" w:themeColor="background1"/>
              <w:left w:val="single" w:sz="4" w:space="0" w:color="FFFFFF" w:themeColor="background1"/>
              <w:bottom w:val="single" w:sz="4" w:space="0" w:color="126CB5"/>
              <w:right w:val="single" w:sz="4" w:space="0" w:color="FFFFFF" w:themeColor="background1"/>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52.4</w:t>
            </w:r>
          </w:p>
        </w:tc>
        <w:tc>
          <w:tcPr>
            <w:tcW w:w="1170" w:type="dxa"/>
            <w:tcBorders>
              <w:top w:val="single" w:sz="4" w:space="0" w:color="FFFFFF" w:themeColor="background1"/>
              <w:left w:val="single" w:sz="4" w:space="0" w:color="FFFFFF" w:themeColor="background1"/>
              <w:bottom w:val="single" w:sz="4" w:space="0" w:color="126CB5"/>
              <w:right w:val="single" w:sz="4" w:space="0" w:color="FFFFFF" w:themeColor="background1"/>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80.7</w:t>
            </w:r>
          </w:p>
        </w:tc>
        <w:tc>
          <w:tcPr>
            <w:tcW w:w="1341" w:type="dxa"/>
            <w:tcBorders>
              <w:top w:val="single" w:sz="4" w:space="0" w:color="FFFFFF" w:themeColor="background1"/>
              <w:left w:val="single" w:sz="4" w:space="0" w:color="FFFFFF" w:themeColor="background1"/>
              <w:bottom w:val="single" w:sz="4" w:space="0" w:color="126CB5"/>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w:t>
            </w:r>
          </w:p>
        </w:tc>
      </w:tr>
      <w:tr w:rsidR="0053212E" w:rsidTr="005321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9" w:type="dxa"/>
            <w:tcBorders>
              <w:top w:val="single" w:sz="4" w:space="0" w:color="126CB5"/>
              <w:bottom w:val="single" w:sz="4" w:space="0" w:color="FFFFFF" w:themeColor="background1"/>
              <w:right w:val="single" w:sz="4" w:space="0" w:color="FFFFFF" w:themeColor="background1"/>
            </w:tcBorders>
            <w:shd w:val="clear" w:color="auto" w:fill="D9D9D9" w:themeFill="background1" w:themeFillShade="D9"/>
          </w:tcPr>
          <w:p w:rsidR="00ED2B37" w:rsidRDefault="00D83B4B">
            <w:pPr>
              <w:spacing w:before="40" w:after="40" w:line="240" w:lineRule="auto"/>
              <w:rPr>
                <w:rFonts w:cs="Times New Roman"/>
                <w:szCs w:val="22"/>
              </w:rPr>
            </w:pPr>
            <w:r>
              <w:rPr>
                <w:rFonts w:cs="Times New Roman"/>
                <w:b w:val="0"/>
                <w:szCs w:val="22"/>
              </w:rPr>
              <w:t>Year 5</w:t>
            </w:r>
          </w:p>
        </w:tc>
        <w:tc>
          <w:tcPr>
            <w:tcW w:w="2410" w:type="dxa"/>
            <w:tcBorders>
              <w:top w:val="single" w:sz="4" w:space="0" w:color="126CB5"/>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center"/>
          </w:tcPr>
          <w:p w:rsidR="00ED2B37" w:rsidRDefault="00D83B4B">
            <w:pPr>
              <w:spacing w:before="40" w:after="40" w:line="240" w:lineRule="auto"/>
              <w:cnfStyle w:val="000000100000" w:firstRow="0" w:lastRow="0" w:firstColumn="0" w:lastColumn="0" w:oddVBand="0" w:evenVBand="0" w:oddHBand="1" w:evenHBand="0" w:firstRowFirstColumn="0" w:firstRowLastColumn="0" w:lastRowFirstColumn="0" w:lastRowLastColumn="0"/>
              <w:rPr>
                <w:rFonts w:cs="Times New Roman"/>
                <w:szCs w:val="22"/>
              </w:rPr>
            </w:pPr>
            <w:r>
              <w:rPr>
                <w:rFonts w:cs="Times New Roman"/>
                <w:szCs w:val="22"/>
              </w:rPr>
              <w:t>Reading (4 year average)</w:t>
            </w:r>
          </w:p>
        </w:tc>
        <w:tc>
          <w:tcPr>
            <w:tcW w:w="1169" w:type="dxa"/>
            <w:tcBorders>
              <w:top w:val="single" w:sz="4" w:space="0" w:color="126CB5"/>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 xml:space="preserve">  82.7</w:t>
            </w:r>
          </w:p>
        </w:tc>
        <w:tc>
          <w:tcPr>
            <w:tcW w:w="1170" w:type="dxa"/>
            <w:tcBorders>
              <w:top w:val="single" w:sz="4" w:space="0" w:color="126CB5"/>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64.1</w:t>
            </w:r>
          </w:p>
        </w:tc>
        <w:tc>
          <w:tcPr>
            <w:tcW w:w="1169" w:type="dxa"/>
            <w:tcBorders>
              <w:top w:val="single" w:sz="4" w:space="0" w:color="126CB5"/>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50.0</w:t>
            </w:r>
          </w:p>
        </w:tc>
        <w:tc>
          <w:tcPr>
            <w:tcW w:w="1170" w:type="dxa"/>
            <w:tcBorders>
              <w:top w:val="single" w:sz="4" w:space="0" w:color="126CB5"/>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77.8</w:t>
            </w:r>
          </w:p>
        </w:tc>
        <w:tc>
          <w:tcPr>
            <w:tcW w:w="1341" w:type="dxa"/>
            <w:tcBorders>
              <w:top w:val="single" w:sz="4" w:space="0" w:color="126CB5"/>
              <w:left w:val="single" w:sz="4" w:space="0" w:color="FFFFFF" w:themeColor="background1"/>
              <w:bottom w:val="single" w:sz="4" w:space="0" w:color="FFFFFF" w:themeColor="background1"/>
            </w:tcBorders>
            <w:shd w:val="clear" w:color="auto" w:fill="D9D9D9" w:themeFill="background1" w:themeFillShade="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w:t>
            </w:r>
          </w:p>
        </w:tc>
      </w:tr>
      <w:tr w:rsidR="0053212E" w:rsidTr="0053212E">
        <w:trPr>
          <w:jc w:val="center"/>
        </w:trPr>
        <w:tc>
          <w:tcPr>
            <w:cnfStyle w:val="001000000000" w:firstRow="0" w:lastRow="0" w:firstColumn="1" w:lastColumn="0" w:oddVBand="0" w:evenVBand="0" w:oddHBand="0" w:evenHBand="0" w:firstRowFirstColumn="0" w:firstRowLastColumn="0" w:lastRowFirstColumn="0" w:lastRowLastColumn="0"/>
            <w:tcW w:w="2199" w:type="dxa"/>
            <w:tcBorders>
              <w:top w:val="single" w:sz="4" w:space="0" w:color="FFFFFF" w:themeColor="background1"/>
              <w:bottom w:val="single" w:sz="2" w:space="0" w:color="126CB5"/>
              <w:right w:val="single" w:sz="4" w:space="0" w:color="FFFFFF" w:themeColor="background1"/>
            </w:tcBorders>
            <w:shd w:val="clear" w:color="auto" w:fill="auto"/>
          </w:tcPr>
          <w:p w:rsidR="00ED2B37" w:rsidRDefault="00D83B4B">
            <w:pPr>
              <w:spacing w:before="40" w:after="40" w:line="240" w:lineRule="auto"/>
              <w:rPr>
                <w:rFonts w:cs="Times New Roman"/>
                <w:szCs w:val="22"/>
              </w:rPr>
            </w:pPr>
            <w:r>
              <w:rPr>
                <w:rFonts w:cs="Times New Roman"/>
                <w:b w:val="0"/>
                <w:szCs w:val="22"/>
              </w:rPr>
              <w:t>Year 5</w:t>
            </w:r>
          </w:p>
        </w:tc>
        <w:tc>
          <w:tcPr>
            <w:tcW w:w="2410" w:type="dxa"/>
            <w:tcBorders>
              <w:top w:val="single" w:sz="4" w:space="0" w:color="FFFFFF" w:themeColor="background1"/>
              <w:left w:val="single" w:sz="4" w:space="0" w:color="FFFFFF" w:themeColor="background1"/>
              <w:bottom w:val="single" w:sz="2" w:space="0" w:color="126CB5"/>
              <w:right w:val="single" w:sz="4" w:space="0" w:color="FFFFFF" w:themeColor="background1"/>
            </w:tcBorders>
            <w:shd w:val="clear" w:color="auto" w:fill="auto"/>
            <w:noWrap/>
            <w:vAlign w:val="center"/>
          </w:tcPr>
          <w:p w:rsidR="00ED2B37" w:rsidRDefault="00D83B4B">
            <w:pPr>
              <w:spacing w:before="40" w:after="40" w:line="240" w:lineRule="auto"/>
              <w:cnfStyle w:val="000000000000" w:firstRow="0" w:lastRow="0" w:firstColumn="0" w:lastColumn="0" w:oddVBand="0" w:evenVBand="0" w:oddHBand="0" w:evenHBand="0" w:firstRowFirstColumn="0" w:firstRowLastColumn="0" w:lastRowFirstColumn="0" w:lastRowLastColumn="0"/>
              <w:rPr>
                <w:rFonts w:cs="Times New Roman"/>
                <w:szCs w:val="22"/>
              </w:rPr>
            </w:pPr>
            <w:r>
              <w:rPr>
                <w:rFonts w:cs="Times New Roman"/>
                <w:szCs w:val="22"/>
              </w:rPr>
              <w:t>Numeracy (4 year average)</w:t>
            </w:r>
          </w:p>
        </w:tc>
        <w:tc>
          <w:tcPr>
            <w:tcW w:w="1169" w:type="dxa"/>
            <w:tcBorders>
              <w:top w:val="single" w:sz="4" w:space="0" w:color="FFFFFF" w:themeColor="background1"/>
              <w:left w:val="single" w:sz="4" w:space="0" w:color="FFFFFF" w:themeColor="background1"/>
              <w:bottom w:val="single" w:sz="2" w:space="0" w:color="126CB5"/>
              <w:right w:val="single" w:sz="4" w:space="0" w:color="FFFFFF" w:themeColor="background1"/>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 xml:space="preserve">  80.5</w:t>
            </w:r>
          </w:p>
        </w:tc>
        <w:tc>
          <w:tcPr>
            <w:tcW w:w="1170" w:type="dxa"/>
            <w:tcBorders>
              <w:top w:val="single" w:sz="4" w:space="0" w:color="FFFFFF" w:themeColor="background1"/>
              <w:left w:val="single" w:sz="4" w:space="0" w:color="FFFFFF" w:themeColor="background1"/>
              <w:bottom w:val="single" w:sz="2" w:space="0" w:color="126CB5"/>
              <w:right w:val="single" w:sz="4" w:space="0" w:color="FFFFFF" w:themeColor="background1"/>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56.3</w:t>
            </w:r>
          </w:p>
        </w:tc>
        <w:tc>
          <w:tcPr>
            <w:tcW w:w="1169" w:type="dxa"/>
            <w:tcBorders>
              <w:top w:val="single" w:sz="4" w:space="0" w:color="FFFFFF" w:themeColor="background1"/>
              <w:left w:val="single" w:sz="4" w:space="0" w:color="FFFFFF" w:themeColor="background1"/>
              <w:bottom w:val="single" w:sz="2" w:space="0" w:color="126CB5"/>
              <w:right w:val="single" w:sz="4" w:space="0" w:color="FFFFFF" w:themeColor="background1"/>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40.7</w:t>
            </w:r>
          </w:p>
        </w:tc>
        <w:tc>
          <w:tcPr>
            <w:tcW w:w="1170" w:type="dxa"/>
            <w:tcBorders>
              <w:top w:val="single" w:sz="4" w:space="0" w:color="FFFFFF" w:themeColor="background1"/>
              <w:left w:val="single" w:sz="4" w:space="0" w:color="FFFFFF" w:themeColor="background1"/>
              <w:bottom w:val="single" w:sz="2" w:space="0" w:color="126CB5"/>
              <w:right w:val="single" w:sz="4" w:space="0" w:color="FFFFFF" w:themeColor="background1"/>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71.7</w:t>
            </w:r>
          </w:p>
        </w:tc>
        <w:tc>
          <w:tcPr>
            <w:tcW w:w="1341" w:type="dxa"/>
            <w:tcBorders>
              <w:top w:val="single" w:sz="4" w:space="0" w:color="FFFFFF" w:themeColor="background1"/>
              <w:left w:val="single" w:sz="4" w:space="0" w:color="FFFFFF" w:themeColor="background1"/>
              <w:bottom w:val="single" w:sz="2" w:space="0" w:color="126CB5"/>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w:t>
            </w:r>
          </w:p>
        </w:tc>
      </w:tr>
    </w:tbl>
    <w:p w:rsidR="00ED2B37" w:rsidRDefault="00D83B4B">
      <w:pPr>
        <w:pStyle w:val="ESBodyText"/>
      </w:pPr>
    </w:p>
    <w:p w:rsidR="00ED2B37" w:rsidRDefault="00D83B4B">
      <w:pPr>
        <w:pStyle w:val="ESBodyText"/>
        <w:rPr>
          <w:rFonts w:eastAsiaTheme="majorEastAsia" w:cstheme="majorBidi"/>
          <w:b/>
          <w:bCs/>
          <w:color w:val="00008B"/>
          <w:szCs w:val="20"/>
        </w:rPr>
      </w:pPr>
      <w:r>
        <w:rPr>
          <w:rFonts w:eastAsiaTheme="majorEastAsia" w:cstheme="majorBidi"/>
          <w:b/>
          <w:bCs/>
          <w:color w:val="00008B"/>
          <w:szCs w:val="20"/>
        </w:rPr>
        <w:t>NAPLAN Learning Gain</w:t>
      </w:r>
    </w:p>
    <w:p w:rsidR="00ED2B37" w:rsidRDefault="00D83B4B">
      <w:pPr>
        <w:pStyle w:val="ESBodyText"/>
      </w:pPr>
      <w:r>
        <w:t xml:space="preserve">Learning </w:t>
      </w:r>
      <w:r>
        <w:t>G</w:t>
      </w:r>
      <w:r>
        <w:t xml:space="preserve">ain of students </w:t>
      </w:r>
      <w:r>
        <w:t>from year levels 3 to 5 in the following domains; Reading, Numeracy, Writing, Spelling and Grammar and Punctuation.</w:t>
      </w:r>
    </w:p>
    <w:p w:rsidR="00ED2B37" w:rsidRDefault="00D83B4B">
      <w:pPr>
        <w:pStyle w:val="ESBodyText"/>
      </w:pPr>
      <w:r>
        <w:t xml:space="preserve">NAPLAN </w:t>
      </w:r>
      <w:r>
        <w:t>L</w:t>
      </w:r>
      <w:r>
        <w:t xml:space="preserve">earning </w:t>
      </w:r>
      <w:r>
        <w:t>G</w:t>
      </w:r>
      <w:r>
        <w:t>ain is determined by comparing a student's current year result to the results of all ‘similar’ Victorian students (i.e. stu</w:t>
      </w:r>
      <w:r>
        <w:t>dents in all sectors in the same year level who had the same score two years prior).  If the student’s gain is in the top 25 percent of their cohort, their gain level is categorised as ‘High’.  If their gain is in the bottom 25 percent of their cohort, the</w:t>
      </w:r>
      <w:r>
        <w:t>ir gain level is ‘Low’, and for the remaining 50 percent of gains the gain level is categorised as ‘Medium’.</w:t>
      </w:r>
    </w:p>
    <w:p w:rsidR="00ED2B37" w:rsidRDefault="00D83B4B">
      <w:pPr>
        <w:pStyle w:val="ESBodyText"/>
      </w:pPr>
      <w:r>
        <w:t xml:space="preserve">There </w:t>
      </w:r>
      <w:r>
        <w:t xml:space="preserve">are </w:t>
      </w:r>
      <w:r>
        <w:t xml:space="preserve">no </w:t>
      </w:r>
      <w:r>
        <w:t>Similar School Comparisons for Learning Gain</w:t>
      </w:r>
      <w:r>
        <w:t>.  T</w:t>
      </w:r>
      <w:r>
        <w:t xml:space="preserve">he </w:t>
      </w:r>
      <w:r>
        <w:t>s</w:t>
      </w:r>
      <w:r>
        <w:t xml:space="preserve">tatewide </w:t>
      </w:r>
      <w:r>
        <w:t>d</w:t>
      </w:r>
      <w:r>
        <w:t xml:space="preserve">istribution of </w:t>
      </w:r>
      <w:r>
        <w:t>Learning Gain for all domains is 25% Lo</w:t>
      </w:r>
      <w:r>
        <w:t>w</w:t>
      </w:r>
      <w:r>
        <w:t xml:space="preserve"> </w:t>
      </w:r>
      <w:r>
        <w:t>G</w:t>
      </w:r>
      <w:r>
        <w:t>ain, 50% Medium</w:t>
      </w:r>
      <w:r>
        <w:t xml:space="preserve"> </w:t>
      </w:r>
      <w:r>
        <w:t>G</w:t>
      </w:r>
      <w:r>
        <w:t xml:space="preserve">ain, 25% High </w:t>
      </w:r>
      <w:r>
        <w:t>G</w:t>
      </w:r>
      <w:r>
        <w:t>ain.</w:t>
      </w:r>
    </w:p>
    <w:p w:rsidR="00ED2B37" w:rsidRDefault="00D83B4B">
      <w:pPr>
        <w:pStyle w:val="ESBodyText"/>
      </w:pPr>
      <w:r>
        <w:t>The table below displays the percentage of students in each of the Learning Gain levels in this school for each NAPLAN domain.</w:t>
      </w:r>
    </w:p>
    <w:tbl>
      <w:tblPr>
        <w:tblStyle w:val="GridTable2-Accent611"/>
        <w:tblW w:w="10569" w:type="dxa"/>
        <w:jc w:val="center"/>
        <w:tblLayout w:type="fixed"/>
        <w:tblLook w:val="04A0" w:firstRow="1" w:lastRow="0" w:firstColumn="1" w:lastColumn="0" w:noHBand="0" w:noVBand="1"/>
        <w:tblCaption w:val="NAPLAN relative growth rates"/>
      </w:tblPr>
      <w:tblGrid>
        <w:gridCol w:w="3730"/>
        <w:gridCol w:w="2279"/>
        <w:gridCol w:w="2280"/>
        <w:gridCol w:w="2280"/>
      </w:tblGrid>
      <w:tr w:rsidR="0053212E" w:rsidTr="0053212E">
        <w:trPr>
          <w:cnfStyle w:val="100000000000" w:firstRow="1" w:lastRow="0" w:firstColumn="0" w:lastColumn="0" w:oddVBand="0" w:evenVBand="0" w:oddHBand="0" w:evenHBand="0" w:firstRowFirstColumn="0" w:firstRowLastColumn="0" w:lastRowFirstColumn="0" w:lastRowLastColumn="0"/>
          <w:trHeight w:val="395"/>
          <w:tblHeader/>
          <w:jc w:val="center"/>
        </w:trPr>
        <w:tc>
          <w:tcPr>
            <w:cnfStyle w:val="001000000000" w:firstRow="0" w:lastRow="0" w:firstColumn="1" w:lastColumn="0" w:oddVBand="0" w:evenVBand="0" w:oddHBand="0" w:evenHBand="0" w:firstRowFirstColumn="0" w:firstRowLastColumn="0" w:lastRowFirstColumn="0" w:lastRowLastColumn="0"/>
            <w:tcW w:w="3730" w:type="dxa"/>
            <w:tcBorders>
              <w:bottom w:val="single" w:sz="12" w:space="0" w:color="FFFFFF"/>
            </w:tcBorders>
            <w:shd w:val="clear" w:color="auto" w:fill="106CB5"/>
            <w:noWrap/>
            <w:vAlign w:val="center"/>
            <w:hideMark/>
          </w:tcPr>
          <w:p w:rsidR="00ED2B37" w:rsidRDefault="00D83B4B">
            <w:pPr>
              <w:spacing w:before="40" w:after="40" w:line="240" w:lineRule="auto"/>
              <w:rPr>
                <w:rFonts w:cs="Times New Roman"/>
                <w:color w:val="FFFFFF"/>
                <w:szCs w:val="22"/>
              </w:rPr>
            </w:pPr>
            <w:r>
              <w:rPr>
                <w:rFonts w:cs="Times New Roman"/>
                <w:bCs w:val="0"/>
                <w:color w:val="FFFFFF"/>
                <w:szCs w:val="22"/>
              </w:rPr>
              <w:t>NAPLAN Learning Gain</w:t>
            </w:r>
          </w:p>
        </w:tc>
        <w:tc>
          <w:tcPr>
            <w:tcW w:w="2279" w:type="dxa"/>
            <w:tcBorders>
              <w:bottom w:val="single" w:sz="12" w:space="0" w:color="FFFFFF"/>
            </w:tcBorders>
            <w:shd w:val="clear" w:color="auto" w:fill="106CB5"/>
            <w:noWrap/>
            <w:vAlign w:val="center"/>
            <w:hideMark/>
          </w:tcPr>
          <w:p w:rsidR="00ED2B37" w:rsidRDefault="00D83B4B" w:rsidP="00E63C86">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color w:val="FFFFFF"/>
                <w:szCs w:val="22"/>
              </w:rPr>
              <w:t>Low G</w:t>
            </w:r>
            <w:r>
              <w:rPr>
                <w:rFonts w:cs="Times New Roman"/>
                <w:color w:val="FFFFFF"/>
                <w:szCs w:val="22"/>
              </w:rPr>
              <w:t>ain</w:t>
            </w:r>
          </w:p>
        </w:tc>
        <w:tc>
          <w:tcPr>
            <w:tcW w:w="2280" w:type="dxa"/>
            <w:tcBorders>
              <w:bottom w:val="single" w:sz="12" w:space="0" w:color="FFFFFF"/>
            </w:tcBorders>
            <w:shd w:val="clear" w:color="auto" w:fill="106CB5"/>
            <w:noWrap/>
            <w:vAlign w:val="center"/>
            <w:hideMark/>
          </w:tcPr>
          <w:p w:rsidR="00ED2B37" w:rsidRDefault="00D83B4B" w:rsidP="00E63C86">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color w:val="FFFFFF"/>
                <w:szCs w:val="22"/>
              </w:rPr>
              <w:t>Medium G</w:t>
            </w:r>
            <w:r>
              <w:rPr>
                <w:rFonts w:cs="Times New Roman"/>
                <w:color w:val="FFFFFF"/>
                <w:szCs w:val="22"/>
              </w:rPr>
              <w:t>ain</w:t>
            </w:r>
          </w:p>
        </w:tc>
        <w:tc>
          <w:tcPr>
            <w:tcW w:w="2280" w:type="dxa"/>
            <w:tcBorders>
              <w:bottom w:val="single" w:sz="12" w:space="0" w:color="FFFFFF"/>
            </w:tcBorders>
            <w:shd w:val="clear" w:color="auto" w:fill="106CB5"/>
            <w:noWrap/>
            <w:vAlign w:val="center"/>
            <w:hideMark/>
          </w:tcPr>
          <w:p w:rsidR="00ED2B37" w:rsidRDefault="00D83B4B" w:rsidP="00E63C86">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color w:val="FFFFFF"/>
                <w:szCs w:val="22"/>
              </w:rPr>
              <w:t>High G</w:t>
            </w:r>
            <w:r>
              <w:rPr>
                <w:rFonts w:cs="Times New Roman"/>
                <w:color w:val="FFFFFF"/>
                <w:szCs w:val="22"/>
              </w:rPr>
              <w:t>ain</w:t>
            </w:r>
          </w:p>
        </w:tc>
      </w:tr>
      <w:tr w:rsidR="0053212E" w:rsidTr="0053212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730" w:type="dxa"/>
            <w:tcBorders>
              <w:top w:val="single" w:sz="12" w:space="0" w:color="FFFFFF"/>
              <w:bottom w:val="single" w:sz="4" w:space="0" w:color="126CB5"/>
            </w:tcBorders>
            <w:shd w:val="clear" w:color="auto" w:fill="FFFFFF"/>
            <w:noWrap/>
            <w:vAlign w:val="center"/>
          </w:tcPr>
          <w:p w:rsidR="00ED2B37" w:rsidRDefault="00D83B4B">
            <w:pPr>
              <w:spacing w:before="40" w:after="40" w:line="240" w:lineRule="auto"/>
              <w:rPr>
                <w:rFonts w:cs="Times New Roman"/>
                <w:szCs w:val="22"/>
              </w:rPr>
            </w:pPr>
            <w:r>
              <w:rPr>
                <w:rFonts w:cs="Times New Roman"/>
                <w:szCs w:val="22"/>
              </w:rPr>
              <w:t>Domain</w:t>
            </w:r>
          </w:p>
        </w:tc>
        <w:tc>
          <w:tcPr>
            <w:tcW w:w="2279" w:type="dxa"/>
            <w:tcBorders>
              <w:top w:val="single" w:sz="12" w:space="0" w:color="FFFFFF"/>
              <w:bottom w:val="single" w:sz="4" w:space="0" w:color="12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2280" w:type="dxa"/>
            <w:tcBorders>
              <w:top w:val="single" w:sz="12" w:space="0" w:color="FFFFFF"/>
              <w:bottom w:val="single" w:sz="4" w:space="0" w:color="12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2280" w:type="dxa"/>
            <w:tcBorders>
              <w:top w:val="single" w:sz="12" w:space="0" w:color="FFFFFF"/>
              <w:bottom w:val="single" w:sz="4" w:space="0" w:color="12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r>
      <w:tr w:rsidR="0053212E" w:rsidTr="005321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30" w:type="dxa"/>
            <w:tcBorders>
              <w:top w:val="single" w:sz="4" w:space="0" w:color="126CB5"/>
              <w:bottom w:val="single" w:sz="4" w:space="0" w:color="FFFFFF" w:themeColor="background1"/>
              <w:right w:val="single" w:sz="4" w:space="0" w:color="FFFFFF" w:themeColor="background1"/>
            </w:tcBorders>
            <w:shd w:val="clear" w:color="auto" w:fill="D9D9D9"/>
            <w:noWrap/>
            <w:vAlign w:val="center"/>
          </w:tcPr>
          <w:p w:rsidR="00ED2B37" w:rsidRDefault="00D83B4B">
            <w:pPr>
              <w:spacing w:before="40" w:after="40" w:line="240" w:lineRule="auto"/>
              <w:rPr>
                <w:rFonts w:cs="Times New Roman"/>
                <w:szCs w:val="22"/>
              </w:rPr>
            </w:pPr>
            <w:r>
              <w:rPr>
                <w:rFonts w:cs="Times New Roman"/>
                <w:b w:val="0"/>
                <w:szCs w:val="22"/>
              </w:rPr>
              <w:t>Reading</w:t>
            </w:r>
          </w:p>
        </w:tc>
        <w:tc>
          <w:tcPr>
            <w:tcW w:w="2279" w:type="dxa"/>
            <w:tcBorders>
              <w:top w:val="single" w:sz="4" w:space="0" w:color="126CB5"/>
              <w:left w:val="single" w:sz="4" w:space="0" w:color="FFFFFF" w:themeColor="background1"/>
              <w:bottom w:val="single" w:sz="4" w:space="0" w:color="FFFFFF" w:themeColor="background1"/>
              <w:right w:val="single" w:sz="4" w:space="0" w:color="FFFFFF" w:themeColor="background1"/>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14.1</w:t>
            </w:r>
          </w:p>
        </w:tc>
        <w:tc>
          <w:tcPr>
            <w:tcW w:w="2280" w:type="dxa"/>
            <w:tcBorders>
              <w:top w:val="single" w:sz="4" w:space="0" w:color="126CB5"/>
              <w:left w:val="single" w:sz="4" w:space="0" w:color="FFFFFF" w:themeColor="background1"/>
              <w:bottom w:val="single" w:sz="4" w:space="0" w:color="FFFFFF" w:themeColor="background1"/>
              <w:right w:val="single" w:sz="4" w:space="0" w:color="FFFFFF" w:themeColor="background1"/>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47.5</w:t>
            </w:r>
          </w:p>
        </w:tc>
        <w:tc>
          <w:tcPr>
            <w:tcW w:w="2280" w:type="dxa"/>
            <w:tcBorders>
              <w:top w:val="single" w:sz="4" w:space="0" w:color="126CB5"/>
              <w:left w:val="single" w:sz="4" w:space="0" w:color="FFFFFF" w:themeColor="background1"/>
              <w:bottom w:val="single" w:sz="4" w:space="0" w:color="FFFFFF" w:themeColor="background1"/>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38.4</w:t>
            </w:r>
          </w:p>
        </w:tc>
      </w:tr>
      <w:tr w:rsidR="0053212E" w:rsidTr="0053212E">
        <w:trPr>
          <w:jc w:val="center"/>
        </w:trPr>
        <w:tc>
          <w:tcPr>
            <w:cnfStyle w:val="001000000000" w:firstRow="0" w:lastRow="0" w:firstColumn="1" w:lastColumn="0" w:oddVBand="0" w:evenVBand="0" w:oddHBand="0" w:evenHBand="0" w:firstRowFirstColumn="0" w:firstRowLastColumn="0" w:lastRowFirstColumn="0" w:lastRowLastColumn="0"/>
            <w:tcW w:w="3730" w:type="dxa"/>
            <w:tcBorders>
              <w:top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rsidR="00ED2B37" w:rsidRDefault="00D83B4B">
            <w:pPr>
              <w:spacing w:before="40" w:after="40" w:line="240" w:lineRule="auto"/>
              <w:rPr>
                <w:rFonts w:cs="Times New Roman"/>
                <w:szCs w:val="22"/>
              </w:rPr>
            </w:pPr>
            <w:r>
              <w:rPr>
                <w:rFonts w:cs="Times New Roman"/>
                <w:b w:val="0"/>
                <w:bCs w:val="0"/>
                <w:szCs w:val="22"/>
              </w:rPr>
              <w:t>Numeracy</w:t>
            </w:r>
          </w:p>
        </w:tc>
        <w:tc>
          <w:tcPr>
            <w:tcW w:w="2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10.1</w:t>
            </w:r>
          </w:p>
        </w:tc>
        <w:tc>
          <w:tcPr>
            <w:tcW w:w="2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55.6</w:t>
            </w:r>
          </w:p>
        </w:tc>
        <w:tc>
          <w:tcPr>
            <w:tcW w:w="2280" w:type="dxa"/>
            <w:tcBorders>
              <w:top w:val="single" w:sz="4" w:space="0" w:color="FFFFFF" w:themeColor="background1"/>
              <w:left w:val="single" w:sz="4" w:space="0" w:color="FFFFFF" w:themeColor="background1"/>
              <w:bottom w:val="single" w:sz="4" w:space="0" w:color="FFFFFF" w:themeColor="background1"/>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34.3</w:t>
            </w:r>
          </w:p>
        </w:tc>
      </w:tr>
      <w:tr w:rsidR="0053212E" w:rsidTr="005321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30" w:type="dxa"/>
            <w:tcBorders>
              <w:top w:val="single" w:sz="4" w:space="0" w:color="FFFFFF" w:themeColor="background1"/>
              <w:bottom w:val="single" w:sz="4" w:space="0" w:color="FFFFFF" w:themeColor="background1"/>
              <w:right w:val="single" w:sz="4" w:space="0" w:color="FFFFFF" w:themeColor="background1"/>
            </w:tcBorders>
            <w:shd w:val="clear" w:color="auto" w:fill="DBD9D6"/>
            <w:noWrap/>
            <w:vAlign w:val="center"/>
          </w:tcPr>
          <w:p w:rsidR="00ED2B37" w:rsidRDefault="00D83B4B">
            <w:pPr>
              <w:spacing w:before="40" w:after="40" w:line="240" w:lineRule="auto"/>
              <w:rPr>
                <w:rFonts w:cs="Times New Roman"/>
                <w:szCs w:val="22"/>
              </w:rPr>
            </w:pPr>
            <w:r>
              <w:rPr>
                <w:rFonts w:cs="Times New Roman"/>
                <w:b w:val="0"/>
                <w:szCs w:val="22"/>
              </w:rPr>
              <w:t>Writing</w:t>
            </w:r>
          </w:p>
        </w:tc>
        <w:tc>
          <w:tcPr>
            <w:tcW w:w="2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9D6"/>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13.1</w:t>
            </w:r>
          </w:p>
        </w:tc>
        <w:tc>
          <w:tcPr>
            <w:tcW w:w="2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9D6"/>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51.5</w:t>
            </w:r>
          </w:p>
        </w:tc>
        <w:tc>
          <w:tcPr>
            <w:tcW w:w="2280" w:type="dxa"/>
            <w:tcBorders>
              <w:top w:val="single" w:sz="4" w:space="0" w:color="FFFFFF" w:themeColor="background1"/>
              <w:left w:val="single" w:sz="4" w:space="0" w:color="FFFFFF" w:themeColor="background1"/>
              <w:bottom w:val="single" w:sz="4" w:space="0" w:color="FFFFFF" w:themeColor="background1"/>
            </w:tcBorders>
            <w:shd w:val="clear" w:color="auto" w:fill="DBD9D6"/>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35.4</w:t>
            </w:r>
          </w:p>
        </w:tc>
      </w:tr>
      <w:tr w:rsidR="0053212E" w:rsidTr="0053212E">
        <w:trPr>
          <w:jc w:val="center"/>
        </w:trPr>
        <w:tc>
          <w:tcPr>
            <w:cnfStyle w:val="001000000000" w:firstRow="0" w:lastRow="0" w:firstColumn="1" w:lastColumn="0" w:oddVBand="0" w:evenVBand="0" w:oddHBand="0" w:evenHBand="0" w:firstRowFirstColumn="0" w:firstRowLastColumn="0" w:lastRowFirstColumn="0" w:lastRowLastColumn="0"/>
            <w:tcW w:w="3730" w:type="dxa"/>
            <w:tcBorders>
              <w:top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rsidR="00ED2B37" w:rsidRDefault="00D83B4B">
            <w:pPr>
              <w:spacing w:before="40" w:after="40" w:line="240" w:lineRule="auto"/>
              <w:rPr>
                <w:rFonts w:cs="Times New Roman"/>
                <w:szCs w:val="22"/>
              </w:rPr>
            </w:pPr>
            <w:r>
              <w:rPr>
                <w:rFonts w:cs="Times New Roman"/>
                <w:b w:val="0"/>
                <w:bCs w:val="0"/>
                <w:szCs w:val="22"/>
              </w:rPr>
              <w:t>Spelling</w:t>
            </w:r>
          </w:p>
        </w:tc>
        <w:tc>
          <w:tcPr>
            <w:tcW w:w="2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14.1</w:t>
            </w:r>
          </w:p>
        </w:tc>
        <w:tc>
          <w:tcPr>
            <w:tcW w:w="2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46.5</w:t>
            </w:r>
          </w:p>
        </w:tc>
        <w:tc>
          <w:tcPr>
            <w:tcW w:w="2280" w:type="dxa"/>
            <w:tcBorders>
              <w:top w:val="single" w:sz="4" w:space="0" w:color="FFFFFF" w:themeColor="background1"/>
              <w:left w:val="single" w:sz="4" w:space="0" w:color="FFFFFF" w:themeColor="background1"/>
              <w:bottom w:val="single" w:sz="4" w:space="0" w:color="FFFFFF" w:themeColor="background1"/>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39.4</w:t>
            </w:r>
          </w:p>
        </w:tc>
      </w:tr>
      <w:tr w:rsidR="0053212E" w:rsidTr="005321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30" w:type="dxa"/>
            <w:tcBorders>
              <w:top w:val="single" w:sz="4" w:space="0" w:color="FFFFFF" w:themeColor="background1"/>
              <w:bottom w:val="single" w:sz="4" w:space="0" w:color="106CB5"/>
              <w:right w:val="single" w:sz="4" w:space="0" w:color="FFFFFF" w:themeColor="background1"/>
            </w:tcBorders>
            <w:shd w:val="clear" w:color="auto" w:fill="DBD9D6"/>
            <w:noWrap/>
            <w:vAlign w:val="center"/>
          </w:tcPr>
          <w:p w:rsidR="00ED2B37" w:rsidRDefault="00D83B4B">
            <w:pPr>
              <w:spacing w:before="40" w:after="40" w:line="240" w:lineRule="auto"/>
              <w:rPr>
                <w:rFonts w:cs="Times New Roman"/>
                <w:szCs w:val="22"/>
              </w:rPr>
            </w:pPr>
            <w:r>
              <w:rPr>
                <w:rFonts w:cs="Times New Roman"/>
                <w:b w:val="0"/>
                <w:szCs w:val="22"/>
              </w:rPr>
              <w:t>Grammar and Punctuation</w:t>
            </w:r>
          </w:p>
        </w:tc>
        <w:tc>
          <w:tcPr>
            <w:tcW w:w="2279" w:type="dxa"/>
            <w:tcBorders>
              <w:top w:val="single" w:sz="4" w:space="0" w:color="FFFFFF" w:themeColor="background1"/>
              <w:left w:val="single" w:sz="4" w:space="0" w:color="FFFFFF" w:themeColor="background1"/>
              <w:bottom w:val="single" w:sz="4" w:space="0" w:color="106CB5"/>
              <w:right w:val="single" w:sz="4" w:space="0" w:color="FFFFFF" w:themeColor="background1"/>
            </w:tcBorders>
            <w:shd w:val="clear" w:color="auto" w:fill="DBD9D6"/>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18.2</w:t>
            </w:r>
          </w:p>
        </w:tc>
        <w:tc>
          <w:tcPr>
            <w:tcW w:w="2280" w:type="dxa"/>
            <w:tcBorders>
              <w:top w:val="single" w:sz="4" w:space="0" w:color="FFFFFF" w:themeColor="background1"/>
              <w:left w:val="single" w:sz="4" w:space="0" w:color="FFFFFF" w:themeColor="background1"/>
              <w:bottom w:val="single" w:sz="4" w:space="0" w:color="106CB5"/>
              <w:right w:val="single" w:sz="4" w:space="0" w:color="FFFFFF" w:themeColor="background1"/>
            </w:tcBorders>
            <w:shd w:val="clear" w:color="auto" w:fill="DBD9D6"/>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54.5</w:t>
            </w:r>
          </w:p>
        </w:tc>
        <w:tc>
          <w:tcPr>
            <w:tcW w:w="2280" w:type="dxa"/>
            <w:tcBorders>
              <w:top w:val="single" w:sz="4" w:space="0" w:color="FFFFFF" w:themeColor="background1"/>
              <w:left w:val="single" w:sz="4" w:space="0" w:color="FFFFFF" w:themeColor="background1"/>
              <w:bottom w:val="single" w:sz="4" w:space="0" w:color="106CB5"/>
            </w:tcBorders>
            <w:shd w:val="clear" w:color="auto" w:fill="DBD9D6"/>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27.3</w:t>
            </w:r>
          </w:p>
        </w:tc>
      </w:tr>
    </w:tbl>
    <w:p w:rsidR="00ED2B37" w:rsidRDefault="00D83B4B">
      <w:pPr>
        <w:pStyle w:val="ESHeading2"/>
        <w:rPr>
          <w:color w:val="00008B"/>
          <w:u w:val="single"/>
        </w:rPr>
      </w:pPr>
      <w:r>
        <w:rPr>
          <w:color w:val="00008B"/>
          <w:u w:val="single"/>
        </w:rPr>
        <w:t>engagement</w:t>
      </w:r>
    </w:p>
    <w:p w:rsidR="00ED2B37" w:rsidRDefault="00D83B4B">
      <w:pPr>
        <w:pStyle w:val="ESBodyText"/>
        <w:rPr>
          <w:rFonts w:eastAsiaTheme="majorEastAsia" w:cstheme="majorBidi"/>
          <w:b/>
          <w:bCs/>
          <w:color w:val="00008B"/>
          <w:szCs w:val="20"/>
        </w:rPr>
      </w:pPr>
      <w:r>
        <w:rPr>
          <w:rFonts w:eastAsiaTheme="majorEastAsia" w:cstheme="majorBidi"/>
          <w:b/>
          <w:bCs/>
          <w:color w:val="00008B"/>
          <w:szCs w:val="20"/>
        </w:rPr>
        <w:t>Average Number of Student Absence Days</w:t>
      </w:r>
    </w:p>
    <w:p w:rsidR="00ED2B37" w:rsidRDefault="00D83B4B">
      <w:pPr>
        <w:pStyle w:val="ESBodyText"/>
      </w:pPr>
      <w:r>
        <w:t xml:space="preserve">Absence from school can impact on students’ learning. </w:t>
      </w:r>
      <w:r>
        <w:t xml:space="preserve"> </w:t>
      </w:r>
      <w:r>
        <w:t xml:space="preserve">A Similar School Comparison rating </w:t>
      </w:r>
      <w:r>
        <w:t>of ‘Above’ indicates this school records less absences than expected, relative to the similar schools group with similar characteristics.  A rating of ‘Below’ indicates this school records more absences than expected.</w:t>
      </w:r>
    </w:p>
    <w:p w:rsidR="00ED2B37" w:rsidRDefault="00D83B4B">
      <w:pPr>
        <w:pStyle w:val="ESBodyText"/>
      </w:pPr>
      <w:r>
        <w:t>Common reasons for non-attendance incl</w:t>
      </w:r>
      <w:r>
        <w:t>ude illness and extended family holidays.</w:t>
      </w:r>
    </w:p>
    <w:tbl>
      <w:tblPr>
        <w:tblStyle w:val="GridTable2-Accent61"/>
        <w:tblW w:w="4850" w:type="pct"/>
        <w:jc w:val="center"/>
        <w:tblLayout w:type="fixed"/>
        <w:tblLook w:val="04A0" w:firstRow="1" w:lastRow="0" w:firstColumn="1" w:lastColumn="0" w:noHBand="0" w:noVBand="1"/>
        <w:tblCaption w:val="Average number of student absence days"/>
      </w:tblPr>
      <w:tblGrid>
        <w:gridCol w:w="4529"/>
        <w:gridCol w:w="1147"/>
        <w:gridCol w:w="1149"/>
        <w:gridCol w:w="1147"/>
        <w:gridCol w:w="1149"/>
        <w:gridCol w:w="1322"/>
      </w:tblGrid>
      <w:tr w:rsidR="0053212E" w:rsidTr="0053212E">
        <w:trPr>
          <w:cnfStyle w:val="100000000000" w:firstRow="1" w:lastRow="0" w:firstColumn="0" w:lastColumn="0" w:oddVBand="0" w:evenVBand="0" w:oddHBand="0" w:evenHBand="0" w:firstRowFirstColumn="0" w:firstRowLastColumn="0" w:lastRowFirstColumn="0" w:lastRowLastColumn="0"/>
          <w:trHeight w:val="632"/>
          <w:tblHeader/>
          <w:jc w:val="center"/>
        </w:trPr>
        <w:tc>
          <w:tcPr>
            <w:cnfStyle w:val="001000000000" w:firstRow="0" w:lastRow="0" w:firstColumn="1" w:lastColumn="0" w:oddVBand="0" w:evenVBand="0" w:oddHBand="0" w:evenHBand="0" w:firstRowFirstColumn="0" w:firstRowLastColumn="0" w:lastRowFirstColumn="0" w:lastRowLastColumn="0"/>
            <w:tcW w:w="2169" w:type="pct"/>
            <w:tcBorders>
              <w:bottom w:val="single" w:sz="12" w:space="0" w:color="FFFFFF"/>
            </w:tcBorders>
            <w:shd w:val="clear" w:color="auto" w:fill="106CB5"/>
            <w:vAlign w:val="center"/>
            <w:hideMark/>
          </w:tcPr>
          <w:p w:rsidR="00ED2B37" w:rsidRDefault="00D83B4B">
            <w:pPr>
              <w:spacing w:before="40" w:after="40" w:line="240" w:lineRule="auto"/>
              <w:rPr>
                <w:rFonts w:cs="Times New Roman"/>
                <w:color w:val="FFFFFF"/>
                <w:szCs w:val="22"/>
              </w:rPr>
            </w:pPr>
            <w:r>
              <w:rPr>
                <w:rFonts w:cs="Times New Roman"/>
                <w:color w:val="FFFFFF"/>
                <w:szCs w:val="22"/>
              </w:rPr>
              <w:t>Average number of absence days</w:t>
            </w:r>
          </w:p>
        </w:tc>
        <w:tc>
          <w:tcPr>
            <w:tcW w:w="549" w:type="pct"/>
            <w:tcBorders>
              <w:bottom w:val="single" w:sz="12" w:space="0" w:color="FFFFFF"/>
            </w:tcBorders>
            <w:shd w:val="clear" w:color="auto" w:fill="106CB5"/>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color w:val="FFFFFF"/>
                <w:szCs w:val="22"/>
              </w:rPr>
              <w:t>School</w:t>
            </w:r>
          </w:p>
        </w:tc>
        <w:tc>
          <w:tcPr>
            <w:tcW w:w="550" w:type="pct"/>
            <w:tcBorders>
              <w:bottom w:val="single" w:sz="12" w:space="0" w:color="FFFFFF"/>
            </w:tcBorders>
            <w:shd w:val="clear" w:color="auto" w:fill="106CB5"/>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color w:val="FFFFFF"/>
                <w:szCs w:val="22"/>
              </w:rPr>
              <w:t>State Median</w:t>
            </w:r>
          </w:p>
        </w:tc>
        <w:tc>
          <w:tcPr>
            <w:tcW w:w="549" w:type="pct"/>
            <w:tcBorders>
              <w:bottom w:val="single" w:sz="12" w:space="0" w:color="FFFFFF"/>
            </w:tcBorders>
            <w:shd w:val="clear" w:color="auto" w:fill="106CB5"/>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Middle 60 percent low</w:t>
            </w:r>
          </w:p>
        </w:tc>
        <w:tc>
          <w:tcPr>
            <w:tcW w:w="550" w:type="pct"/>
            <w:tcBorders>
              <w:bottom w:val="single" w:sz="12" w:space="0" w:color="FFFFFF"/>
            </w:tcBorders>
            <w:shd w:val="clear" w:color="auto" w:fill="106CB5"/>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Middle 60 percent high</w:t>
            </w:r>
          </w:p>
        </w:tc>
        <w:tc>
          <w:tcPr>
            <w:tcW w:w="633" w:type="pct"/>
            <w:tcBorders>
              <w:bottom w:val="single" w:sz="12" w:space="0" w:color="FFFFFF"/>
            </w:tcBorders>
            <w:shd w:val="clear" w:color="auto" w:fill="106CB5"/>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Similar School Comparison</w:t>
            </w:r>
          </w:p>
        </w:tc>
      </w:tr>
      <w:tr w:rsidR="0053212E" w:rsidTr="0053212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169"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rPr>
                <w:rFonts w:cs="Times New Roman"/>
                <w:szCs w:val="22"/>
              </w:rPr>
            </w:pPr>
          </w:p>
        </w:tc>
        <w:tc>
          <w:tcPr>
            <w:tcW w:w="549"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Number</w:t>
            </w:r>
          </w:p>
        </w:tc>
        <w:tc>
          <w:tcPr>
            <w:tcW w:w="550"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Number</w:t>
            </w:r>
          </w:p>
        </w:tc>
        <w:tc>
          <w:tcPr>
            <w:tcW w:w="549" w:type="pct"/>
            <w:tcBorders>
              <w:top w:val="single" w:sz="12" w:space="0" w:color="FFFFFF"/>
              <w:bottom w:val="single" w:sz="2" w:space="0" w:color="106CB5"/>
            </w:tcBorders>
            <w:shd w:val="clear" w:color="auto" w:fill="FFFFFF"/>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Number</w:t>
            </w:r>
          </w:p>
        </w:tc>
        <w:tc>
          <w:tcPr>
            <w:tcW w:w="550"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Number</w:t>
            </w:r>
          </w:p>
        </w:tc>
        <w:tc>
          <w:tcPr>
            <w:tcW w:w="633" w:type="pct"/>
            <w:tcBorders>
              <w:top w:val="single" w:sz="12" w:space="0" w:color="FFFFFF"/>
              <w:bottom w:val="single" w:sz="2" w:space="0" w:color="106CB5"/>
            </w:tcBorders>
            <w:shd w:val="clear" w:color="auto" w:fill="FFFFFF"/>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p>
        </w:tc>
      </w:tr>
      <w:tr w:rsidR="0053212E" w:rsidTr="005321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9" w:type="pct"/>
            <w:tcBorders>
              <w:top w:val="single" w:sz="2" w:space="0" w:color="106CB5"/>
              <w:bottom w:val="single" w:sz="2" w:space="0" w:color="106CB5"/>
            </w:tcBorders>
            <w:shd w:val="clear" w:color="auto" w:fill="D9D9D9"/>
            <w:noWrap/>
            <w:vAlign w:val="center"/>
          </w:tcPr>
          <w:p w:rsidR="00ED2B37" w:rsidRDefault="00D83B4B">
            <w:pPr>
              <w:spacing w:before="40" w:after="40" w:line="240" w:lineRule="auto"/>
              <w:rPr>
                <w:rFonts w:cs="Times New Roman"/>
                <w:szCs w:val="22"/>
              </w:rPr>
            </w:pPr>
            <w:r>
              <w:rPr>
                <w:rFonts w:cs="Times New Roman"/>
                <w:szCs w:val="22"/>
              </w:rPr>
              <w:t>Average number of absence days (latest year)</w:t>
            </w:r>
          </w:p>
        </w:tc>
        <w:tc>
          <w:tcPr>
            <w:tcW w:w="549" w:type="pct"/>
            <w:tcBorders>
              <w:top w:val="single" w:sz="2" w:space="0" w:color="106CB5"/>
              <w:bottom w:val="single" w:sz="2" w:space="0" w:color="106CB5"/>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13.2</w:t>
            </w:r>
          </w:p>
        </w:tc>
        <w:tc>
          <w:tcPr>
            <w:tcW w:w="550" w:type="pct"/>
            <w:tcBorders>
              <w:top w:val="single" w:sz="2" w:space="0" w:color="106CB5"/>
              <w:bottom w:val="single" w:sz="2" w:space="0" w:color="106CB5"/>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16.3</w:t>
            </w:r>
          </w:p>
        </w:tc>
        <w:tc>
          <w:tcPr>
            <w:tcW w:w="549" w:type="pct"/>
            <w:tcBorders>
              <w:top w:val="single" w:sz="2" w:space="0" w:color="106CB5"/>
              <w:bottom w:val="single" w:sz="2" w:space="0" w:color="106CB5"/>
            </w:tcBorders>
            <w:shd w:val="clear" w:color="auto" w:fill="D9D9D9"/>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13.9</w:t>
            </w:r>
          </w:p>
        </w:tc>
        <w:tc>
          <w:tcPr>
            <w:tcW w:w="550" w:type="pct"/>
            <w:tcBorders>
              <w:top w:val="single" w:sz="2" w:space="0" w:color="106CB5"/>
              <w:bottom w:val="single" w:sz="2" w:space="0" w:color="106CB5"/>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19.4</w:t>
            </w:r>
          </w:p>
        </w:tc>
        <w:tc>
          <w:tcPr>
            <w:tcW w:w="633" w:type="pct"/>
            <w:tcBorders>
              <w:top w:val="single" w:sz="2" w:space="0" w:color="106CB5"/>
              <w:bottom w:val="single" w:sz="2" w:space="0" w:color="106CB5"/>
            </w:tcBorders>
            <w:shd w:val="clear" w:color="auto" w:fill="D9D9D9"/>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Similar</w:t>
            </w:r>
          </w:p>
        </w:tc>
      </w:tr>
      <w:tr w:rsidR="0053212E" w:rsidTr="0053212E">
        <w:trPr>
          <w:jc w:val="center"/>
        </w:trPr>
        <w:tc>
          <w:tcPr>
            <w:cnfStyle w:val="001000000000" w:firstRow="0" w:lastRow="0" w:firstColumn="1" w:lastColumn="0" w:oddVBand="0" w:evenVBand="0" w:oddHBand="0" w:evenHBand="0" w:firstRowFirstColumn="0" w:firstRowLastColumn="0" w:lastRowFirstColumn="0" w:lastRowLastColumn="0"/>
            <w:tcW w:w="2169" w:type="pct"/>
            <w:tcBorders>
              <w:top w:val="single" w:sz="2" w:space="0" w:color="106CB5"/>
              <w:bottom w:val="single" w:sz="2" w:space="0" w:color="106CB5"/>
            </w:tcBorders>
            <w:shd w:val="clear" w:color="auto" w:fill="auto"/>
            <w:noWrap/>
            <w:vAlign w:val="center"/>
            <w:hideMark/>
          </w:tcPr>
          <w:p w:rsidR="00ED2B37" w:rsidRDefault="00D83B4B">
            <w:pPr>
              <w:spacing w:before="40" w:after="40" w:line="240" w:lineRule="auto"/>
              <w:rPr>
                <w:rFonts w:cs="Times New Roman"/>
                <w:szCs w:val="22"/>
              </w:rPr>
            </w:pPr>
            <w:r>
              <w:rPr>
                <w:rFonts w:cs="Times New Roman"/>
                <w:szCs w:val="22"/>
              </w:rPr>
              <w:t>Average number of absence days (4 year average)</w:t>
            </w:r>
          </w:p>
        </w:tc>
        <w:tc>
          <w:tcPr>
            <w:tcW w:w="549" w:type="pct"/>
            <w:tcBorders>
              <w:top w:val="single" w:sz="2" w:space="0" w:color="106CB5"/>
              <w:bottom w:val="single" w:sz="2" w:space="0" w:color="106CB5"/>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13.1</w:t>
            </w:r>
          </w:p>
        </w:tc>
        <w:tc>
          <w:tcPr>
            <w:tcW w:w="550" w:type="pct"/>
            <w:tcBorders>
              <w:top w:val="single" w:sz="2" w:space="0" w:color="106CB5"/>
              <w:bottom w:val="single" w:sz="2" w:space="0" w:color="106CB5"/>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15.5</w:t>
            </w:r>
          </w:p>
        </w:tc>
        <w:tc>
          <w:tcPr>
            <w:tcW w:w="549" w:type="pct"/>
            <w:tcBorders>
              <w:top w:val="single" w:sz="2" w:space="0" w:color="106CB5"/>
              <w:bottom w:val="single" w:sz="2" w:space="0" w:color="106CB5"/>
            </w:tcBorders>
            <w:shd w:val="clear" w:color="auto" w:fill="auto"/>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13.5</w:t>
            </w:r>
          </w:p>
        </w:tc>
        <w:tc>
          <w:tcPr>
            <w:tcW w:w="550" w:type="pct"/>
            <w:tcBorders>
              <w:top w:val="single" w:sz="2" w:space="0" w:color="106CB5"/>
              <w:bottom w:val="single" w:sz="2" w:space="0" w:color="106CB5"/>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18.2</w:t>
            </w:r>
          </w:p>
        </w:tc>
        <w:tc>
          <w:tcPr>
            <w:tcW w:w="633" w:type="pct"/>
            <w:tcBorders>
              <w:top w:val="single" w:sz="2" w:space="0" w:color="106CB5"/>
              <w:bottom w:val="single" w:sz="2" w:space="0" w:color="106CB5"/>
            </w:tcBorders>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w:t>
            </w:r>
          </w:p>
        </w:tc>
      </w:tr>
    </w:tbl>
    <w:p w:rsidR="00ED2B37" w:rsidRDefault="00D83B4B" w:rsidP="007C1025">
      <w:pPr>
        <w:pStyle w:val="ESBodyText"/>
        <w:spacing w:after="0"/>
        <w:rPr>
          <w:rFonts w:eastAsiaTheme="majorEastAsia" w:cstheme="majorBidi"/>
          <w:b/>
          <w:bCs/>
          <w:color w:val="AF272F"/>
          <w:szCs w:val="20"/>
        </w:rPr>
      </w:pPr>
    </w:p>
    <w:p w:rsidR="00ED2B37" w:rsidRDefault="00D83B4B">
      <w:pPr>
        <w:pStyle w:val="ESBodyText"/>
        <w:rPr>
          <w:rFonts w:eastAsiaTheme="majorEastAsia" w:cstheme="majorBidi"/>
          <w:b/>
          <w:bCs/>
          <w:color w:val="00008B"/>
          <w:szCs w:val="20"/>
        </w:rPr>
      </w:pPr>
      <w:r>
        <w:rPr>
          <w:rFonts w:eastAsiaTheme="majorEastAsia" w:cstheme="majorBidi"/>
          <w:b/>
          <w:bCs/>
          <w:color w:val="00008B"/>
          <w:szCs w:val="20"/>
        </w:rPr>
        <w:t>Attendance Rate</w:t>
      </w:r>
    </w:p>
    <w:p w:rsidR="00ED2B37" w:rsidRDefault="00D83B4B">
      <w:pPr>
        <w:pStyle w:val="ESBodyText"/>
      </w:pPr>
      <w:r>
        <w:t>Average 2019 attendance rate by year level:</w:t>
      </w:r>
    </w:p>
    <w:tbl>
      <w:tblPr>
        <w:tblStyle w:val="GridTable2-Accent61"/>
        <w:tblW w:w="4838" w:type="pct"/>
        <w:jc w:val="center"/>
        <w:tblLook w:val="04A0" w:firstRow="1" w:lastRow="0" w:firstColumn="1" w:lastColumn="0" w:noHBand="0" w:noVBand="1"/>
        <w:tblCaption w:val="Attendance rate"/>
      </w:tblPr>
      <w:tblGrid>
        <w:gridCol w:w="3155"/>
        <w:gridCol w:w="1038"/>
        <w:gridCol w:w="1038"/>
        <w:gridCol w:w="1038"/>
        <w:gridCol w:w="1040"/>
        <w:gridCol w:w="1035"/>
        <w:gridCol w:w="1035"/>
        <w:gridCol w:w="1038"/>
      </w:tblGrid>
      <w:tr w:rsidR="0053212E" w:rsidTr="0053212E">
        <w:trPr>
          <w:cnfStyle w:val="100000000000" w:firstRow="1" w:lastRow="0" w:firstColumn="0" w:lastColumn="0" w:oddVBand="0" w:evenVBand="0" w:oddHBand="0" w:evenHBand="0" w:firstRowFirstColumn="0" w:firstRowLastColumn="0" w:lastRowFirstColumn="0" w:lastRowLastColumn="0"/>
          <w:trHeight w:val="501"/>
          <w:tblHeader/>
          <w:jc w:val="center"/>
        </w:trPr>
        <w:tc>
          <w:tcPr>
            <w:cnfStyle w:val="001000000000" w:firstRow="0" w:lastRow="0" w:firstColumn="1" w:lastColumn="0" w:oddVBand="0" w:evenVBand="0" w:oddHBand="0" w:evenHBand="0" w:firstRowFirstColumn="0" w:firstRowLastColumn="0" w:lastRowFirstColumn="0" w:lastRowLastColumn="0"/>
            <w:tcW w:w="1515" w:type="pct"/>
            <w:tcBorders>
              <w:bottom w:val="single" w:sz="12" w:space="0" w:color="FFFFFF"/>
            </w:tcBorders>
            <w:shd w:val="clear" w:color="auto" w:fill="106CB5"/>
            <w:vAlign w:val="center"/>
            <w:hideMark/>
          </w:tcPr>
          <w:p w:rsidR="00ED2B37" w:rsidRDefault="00D83B4B">
            <w:pPr>
              <w:spacing w:before="40" w:after="40" w:line="240" w:lineRule="auto"/>
              <w:jc w:val="right"/>
              <w:rPr>
                <w:rFonts w:cs="Times New Roman"/>
                <w:color w:val="FFFFFF"/>
                <w:szCs w:val="22"/>
              </w:rPr>
            </w:pPr>
            <w:r>
              <w:rPr>
                <w:rFonts w:cs="Times New Roman"/>
                <w:color w:val="FFFFFF"/>
                <w:szCs w:val="22"/>
              </w:rPr>
              <w:t>Year Level</w:t>
            </w:r>
          </w:p>
        </w:tc>
        <w:tc>
          <w:tcPr>
            <w:tcW w:w="498" w:type="pct"/>
            <w:tcBorders>
              <w:bottom w:val="single" w:sz="12" w:space="0" w:color="FFFFFF"/>
            </w:tcBorders>
            <w:shd w:val="clear" w:color="auto" w:fill="106CB5"/>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color w:val="FFFFFF"/>
                <w:szCs w:val="22"/>
              </w:rPr>
              <w:t>Prep</w:t>
            </w:r>
          </w:p>
        </w:tc>
        <w:tc>
          <w:tcPr>
            <w:tcW w:w="498" w:type="pct"/>
            <w:tcBorders>
              <w:bottom w:val="single" w:sz="12" w:space="0" w:color="FFFFFF"/>
            </w:tcBorders>
            <w:shd w:val="clear" w:color="auto" w:fill="106CB5"/>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color w:val="FFFFFF"/>
                <w:szCs w:val="22"/>
              </w:rPr>
              <w:t>Year 1</w:t>
            </w:r>
          </w:p>
        </w:tc>
        <w:tc>
          <w:tcPr>
            <w:tcW w:w="498" w:type="pct"/>
            <w:tcBorders>
              <w:bottom w:val="single" w:sz="12" w:space="0" w:color="FFFFFF"/>
            </w:tcBorders>
            <w:shd w:val="clear" w:color="auto" w:fill="106CB5"/>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Year 2</w:t>
            </w:r>
          </w:p>
        </w:tc>
        <w:tc>
          <w:tcPr>
            <w:tcW w:w="499" w:type="pct"/>
            <w:tcBorders>
              <w:bottom w:val="single" w:sz="12" w:space="0" w:color="FFFFFF"/>
            </w:tcBorders>
            <w:shd w:val="clear" w:color="auto" w:fill="106CB5"/>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color w:val="FFFFFF"/>
                <w:szCs w:val="22"/>
              </w:rPr>
              <w:t>Year 3</w:t>
            </w:r>
          </w:p>
        </w:tc>
        <w:tc>
          <w:tcPr>
            <w:tcW w:w="497" w:type="pct"/>
            <w:tcBorders>
              <w:bottom w:val="single" w:sz="12" w:space="0" w:color="FFFFFF"/>
            </w:tcBorders>
            <w:shd w:val="clear" w:color="auto" w:fill="106CB5"/>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Year 4</w:t>
            </w:r>
          </w:p>
        </w:tc>
        <w:tc>
          <w:tcPr>
            <w:tcW w:w="497" w:type="pct"/>
            <w:tcBorders>
              <w:bottom w:val="single" w:sz="12" w:space="0" w:color="FFFFFF"/>
            </w:tcBorders>
            <w:shd w:val="clear" w:color="auto" w:fill="106CB5"/>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Year 5</w:t>
            </w:r>
          </w:p>
        </w:tc>
        <w:tc>
          <w:tcPr>
            <w:tcW w:w="498" w:type="pct"/>
            <w:tcBorders>
              <w:bottom w:val="single" w:sz="12" w:space="0" w:color="FFFFFF"/>
            </w:tcBorders>
            <w:shd w:val="clear" w:color="auto" w:fill="106CB5"/>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Year 6</w:t>
            </w:r>
          </w:p>
        </w:tc>
      </w:tr>
      <w:tr w:rsidR="0053212E" w:rsidTr="0053212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515"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rPr>
                <w:rFonts w:cs="Times New Roman"/>
                <w:szCs w:val="22"/>
              </w:rPr>
            </w:pPr>
          </w:p>
        </w:tc>
        <w:tc>
          <w:tcPr>
            <w:tcW w:w="498"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498"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498" w:type="pct"/>
            <w:tcBorders>
              <w:top w:val="single" w:sz="12" w:space="0" w:color="FFFFFF"/>
              <w:bottom w:val="single" w:sz="2" w:space="0" w:color="106CB5"/>
            </w:tcBorders>
            <w:shd w:val="clear" w:color="auto" w:fill="FFFFFF"/>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499"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497" w:type="pct"/>
            <w:tcBorders>
              <w:top w:val="single" w:sz="12" w:space="0" w:color="FFFFFF"/>
              <w:bottom w:val="single" w:sz="2" w:space="0" w:color="106CB5"/>
            </w:tcBorders>
            <w:shd w:val="clear" w:color="auto" w:fill="FFFFFF"/>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497" w:type="pct"/>
            <w:tcBorders>
              <w:top w:val="single" w:sz="12" w:space="0" w:color="FFFFFF"/>
              <w:bottom w:val="single" w:sz="2" w:space="0" w:color="106CB5"/>
            </w:tcBorders>
            <w:shd w:val="clear" w:color="auto" w:fill="FFFFFF"/>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498" w:type="pct"/>
            <w:tcBorders>
              <w:top w:val="single" w:sz="12" w:space="0" w:color="FFFFFF"/>
              <w:bottom w:val="single" w:sz="2" w:space="0" w:color="106CB5"/>
            </w:tcBorders>
            <w:shd w:val="clear" w:color="auto" w:fill="FFFFFF"/>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r>
      <w:tr w:rsidR="0053212E" w:rsidTr="005321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5" w:type="pct"/>
            <w:tcBorders>
              <w:top w:val="single" w:sz="2" w:space="0" w:color="106CB5"/>
              <w:bottom w:val="single" w:sz="2" w:space="0" w:color="106CB5"/>
            </w:tcBorders>
            <w:shd w:val="clear" w:color="auto" w:fill="D9D9D9"/>
            <w:noWrap/>
            <w:vAlign w:val="center"/>
          </w:tcPr>
          <w:p w:rsidR="00ED2B37" w:rsidRDefault="00D83B4B">
            <w:pPr>
              <w:spacing w:before="40" w:after="40" w:line="240" w:lineRule="auto"/>
              <w:rPr>
                <w:rFonts w:cs="Times New Roman"/>
                <w:szCs w:val="22"/>
              </w:rPr>
            </w:pPr>
            <w:r>
              <w:rPr>
                <w:rFonts w:cs="Times New Roman"/>
                <w:szCs w:val="22"/>
              </w:rPr>
              <w:t>Attendance Rate (latest year)</w:t>
            </w:r>
          </w:p>
        </w:tc>
        <w:tc>
          <w:tcPr>
            <w:tcW w:w="498" w:type="pct"/>
            <w:tcBorders>
              <w:top w:val="single" w:sz="2" w:space="0" w:color="106CB5"/>
              <w:bottom w:val="single" w:sz="2" w:space="0" w:color="106CB5"/>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94</w:t>
            </w:r>
          </w:p>
        </w:tc>
        <w:tc>
          <w:tcPr>
            <w:tcW w:w="498" w:type="pct"/>
            <w:tcBorders>
              <w:top w:val="single" w:sz="2" w:space="0" w:color="106CB5"/>
              <w:bottom w:val="single" w:sz="2" w:space="0" w:color="106CB5"/>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93</w:t>
            </w:r>
          </w:p>
        </w:tc>
        <w:tc>
          <w:tcPr>
            <w:tcW w:w="498" w:type="pct"/>
            <w:tcBorders>
              <w:top w:val="single" w:sz="2" w:space="0" w:color="106CB5"/>
              <w:bottom w:val="single" w:sz="2" w:space="0" w:color="106CB5"/>
            </w:tcBorders>
            <w:shd w:val="clear" w:color="auto" w:fill="D9D9D9"/>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93</w:t>
            </w:r>
          </w:p>
        </w:tc>
        <w:tc>
          <w:tcPr>
            <w:tcW w:w="499" w:type="pct"/>
            <w:tcBorders>
              <w:top w:val="single" w:sz="2" w:space="0" w:color="106CB5"/>
              <w:bottom w:val="single" w:sz="2" w:space="0" w:color="106CB5"/>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94</w:t>
            </w:r>
          </w:p>
        </w:tc>
        <w:tc>
          <w:tcPr>
            <w:tcW w:w="497" w:type="pct"/>
            <w:tcBorders>
              <w:top w:val="single" w:sz="2" w:space="0" w:color="106CB5"/>
              <w:bottom w:val="single" w:sz="2" w:space="0" w:color="106CB5"/>
            </w:tcBorders>
            <w:shd w:val="clear" w:color="auto" w:fill="D9D9D9"/>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93</w:t>
            </w:r>
          </w:p>
        </w:tc>
        <w:tc>
          <w:tcPr>
            <w:tcW w:w="497" w:type="pct"/>
            <w:tcBorders>
              <w:top w:val="single" w:sz="2" w:space="0" w:color="106CB5"/>
              <w:bottom w:val="single" w:sz="2" w:space="0" w:color="106CB5"/>
            </w:tcBorders>
            <w:shd w:val="clear" w:color="auto" w:fill="D9D9D9"/>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94</w:t>
            </w:r>
          </w:p>
        </w:tc>
        <w:tc>
          <w:tcPr>
            <w:tcW w:w="498" w:type="pct"/>
            <w:tcBorders>
              <w:top w:val="single" w:sz="2" w:space="0" w:color="106CB5"/>
              <w:bottom w:val="single" w:sz="2" w:space="0" w:color="106CB5"/>
            </w:tcBorders>
            <w:shd w:val="clear" w:color="auto" w:fill="D9D9D9"/>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92</w:t>
            </w:r>
          </w:p>
        </w:tc>
      </w:tr>
    </w:tbl>
    <w:p w:rsidR="00ED2B37" w:rsidRDefault="00D83B4B" w:rsidP="007C1025">
      <w:pPr>
        <w:pStyle w:val="ESBodyText"/>
        <w:spacing w:after="0" w:line="240" w:lineRule="auto"/>
      </w:pPr>
    </w:p>
    <w:p w:rsidR="00BB2F16" w:rsidRDefault="00D83B4B">
      <w:pPr>
        <w:spacing w:after="0" w:line="240" w:lineRule="auto"/>
        <w:rPr>
          <w:rFonts w:eastAsiaTheme="majorEastAsia" w:cstheme="majorBidi"/>
          <w:b/>
          <w:bCs/>
          <w:caps/>
          <w:color w:val="00008B"/>
          <w:sz w:val="20"/>
          <w:szCs w:val="20"/>
          <w:u w:val="single"/>
        </w:rPr>
      </w:pPr>
      <w:r>
        <w:rPr>
          <w:color w:val="00008B"/>
          <w:u w:val="single"/>
        </w:rPr>
        <w:br w:type="page"/>
      </w:r>
    </w:p>
    <w:p w:rsidR="00BB2F16" w:rsidRDefault="00D83B4B" w:rsidP="007C1025">
      <w:pPr>
        <w:pStyle w:val="ESHeading2"/>
        <w:spacing w:before="120"/>
        <w:rPr>
          <w:color w:val="00008B"/>
          <w:u w:val="single"/>
        </w:rPr>
      </w:pPr>
    </w:p>
    <w:p w:rsidR="00ED2B37" w:rsidRDefault="00D83B4B" w:rsidP="007C1025">
      <w:pPr>
        <w:pStyle w:val="ESHeading2"/>
        <w:spacing w:before="120"/>
        <w:rPr>
          <w:color w:val="00008B"/>
          <w:u w:val="single"/>
        </w:rPr>
      </w:pPr>
      <w:r>
        <w:rPr>
          <w:color w:val="00008B"/>
          <w:u w:val="single"/>
        </w:rPr>
        <w:t>WELLbeing</w:t>
      </w:r>
    </w:p>
    <w:p w:rsidR="00ED2B37" w:rsidRDefault="00D83B4B">
      <w:pPr>
        <w:pStyle w:val="ESBodyText"/>
        <w:rPr>
          <w:rFonts w:eastAsiaTheme="majorEastAsia" w:cstheme="majorBidi"/>
          <w:b/>
          <w:bCs/>
          <w:color w:val="00008B"/>
          <w:szCs w:val="20"/>
        </w:rPr>
      </w:pPr>
      <w:r>
        <w:rPr>
          <w:rFonts w:eastAsiaTheme="majorEastAsia" w:cstheme="majorBidi"/>
          <w:b/>
          <w:bCs/>
          <w:color w:val="00008B"/>
          <w:szCs w:val="20"/>
        </w:rPr>
        <w:t>Student Attitudes to School – Sense of Connectedness</w:t>
      </w:r>
    </w:p>
    <w:p w:rsidR="00ED2B37" w:rsidRDefault="00D83B4B">
      <w:pPr>
        <w:pStyle w:val="ESBodyText"/>
      </w:pPr>
      <w:r>
        <w:t xml:space="preserve">The percent endorsement on Sense of Connectedness factor, as reported in the Attitudes to School Survey completed annually by </w:t>
      </w:r>
      <w:r>
        <w:t>Victorian Government school students in year levels 4 to 6.</w:t>
      </w:r>
    </w:p>
    <w:p w:rsidR="00ED2B37" w:rsidRDefault="00D83B4B">
      <w:pPr>
        <w:pStyle w:val="ESBodyText"/>
      </w:pPr>
      <w:r>
        <w:t>Percent endorsement indicates the percent of positive responses (agree or strongly agree).</w:t>
      </w:r>
    </w:p>
    <w:tbl>
      <w:tblPr>
        <w:tblStyle w:val="GridTable2-Accent61"/>
        <w:tblW w:w="4843" w:type="pct"/>
        <w:jc w:val="center"/>
        <w:tblLook w:val="04A0" w:firstRow="1" w:lastRow="0" w:firstColumn="1" w:lastColumn="0" w:noHBand="0" w:noVBand="1"/>
        <w:tblCaption w:val="Attitude to schools survey - connectedness to schools"/>
      </w:tblPr>
      <w:tblGrid>
        <w:gridCol w:w="3816"/>
        <w:gridCol w:w="1307"/>
        <w:gridCol w:w="1308"/>
        <w:gridCol w:w="1308"/>
        <w:gridCol w:w="1383"/>
        <w:gridCol w:w="1306"/>
      </w:tblGrid>
      <w:tr w:rsidR="0053212E" w:rsidTr="0053212E">
        <w:trPr>
          <w:cnfStyle w:val="100000000000" w:firstRow="1" w:lastRow="0" w:firstColumn="0" w:lastColumn="0" w:oddVBand="0" w:evenVBand="0" w:oddHBand="0" w:evenHBand="0" w:firstRowFirstColumn="0" w:firstRowLastColumn="0" w:lastRowFirstColumn="0" w:lastRowLastColumn="0"/>
          <w:trHeight w:val="706"/>
          <w:tblHeader/>
          <w:jc w:val="center"/>
        </w:trPr>
        <w:tc>
          <w:tcPr>
            <w:cnfStyle w:val="001000000000" w:firstRow="0" w:lastRow="0" w:firstColumn="1" w:lastColumn="0" w:oddVBand="0" w:evenVBand="0" w:oddHBand="0" w:evenHBand="0" w:firstRowFirstColumn="0" w:firstRowLastColumn="0" w:lastRowFirstColumn="0" w:lastRowLastColumn="0"/>
            <w:tcW w:w="1830" w:type="pct"/>
            <w:tcBorders>
              <w:bottom w:val="single" w:sz="12" w:space="0" w:color="FFFFFF"/>
            </w:tcBorders>
            <w:shd w:val="clear" w:color="auto" w:fill="106CB5"/>
            <w:vAlign w:val="center"/>
            <w:hideMark/>
          </w:tcPr>
          <w:p w:rsidR="00ED2B37" w:rsidRDefault="00D83B4B">
            <w:pPr>
              <w:spacing w:before="40" w:after="40" w:line="240" w:lineRule="auto"/>
              <w:rPr>
                <w:rFonts w:cs="Times New Roman"/>
                <w:color w:val="FFFFFF"/>
                <w:szCs w:val="22"/>
              </w:rPr>
            </w:pPr>
            <w:r>
              <w:t xml:space="preserve"> </w:t>
            </w:r>
            <w:r>
              <w:rPr>
                <w:rFonts w:cs="Times New Roman"/>
                <w:color w:val="FFFFFF"/>
                <w:szCs w:val="22"/>
              </w:rPr>
              <w:t>Sense of Connectedness</w:t>
            </w:r>
          </w:p>
        </w:tc>
        <w:tc>
          <w:tcPr>
            <w:tcW w:w="627" w:type="pct"/>
            <w:tcBorders>
              <w:bottom w:val="single" w:sz="12" w:space="0" w:color="FFFFFF"/>
            </w:tcBorders>
            <w:shd w:val="clear" w:color="auto" w:fill="106CB5"/>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color w:val="FFFFFF"/>
                <w:szCs w:val="22"/>
              </w:rPr>
              <w:t>School</w:t>
            </w:r>
          </w:p>
        </w:tc>
        <w:tc>
          <w:tcPr>
            <w:tcW w:w="627" w:type="pct"/>
            <w:tcBorders>
              <w:bottom w:val="single" w:sz="12" w:space="0" w:color="FFFFFF"/>
            </w:tcBorders>
            <w:shd w:val="clear" w:color="auto" w:fill="106CB5"/>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color w:val="FFFFFF"/>
                <w:szCs w:val="22"/>
              </w:rPr>
              <w:t>State Median</w:t>
            </w:r>
          </w:p>
        </w:tc>
        <w:tc>
          <w:tcPr>
            <w:tcW w:w="627" w:type="pct"/>
            <w:tcBorders>
              <w:bottom w:val="single" w:sz="12" w:space="0" w:color="FFFFFF"/>
            </w:tcBorders>
            <w:shd w:val="clear" w:color="auto" w:fill="106CB5"/>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Middle 60 percent low</w:t>
            </w:r>
          </w:p>
        </w:tc>
        <w:tc>
          <w:tcPr>
            <w:tcW w:w="663" w:type="pct"/>
            <w:tcBorders>
              <w:bottom w:val="single" w:sz="12" w:space="0" w:color="FFFFFF"/>
            </w:tcBorders>
            <w:shd w:val="clear" w:color="auto" w:fill="106CB5"/>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Middle 60 percent high</w:t>
            </w:r>
          </w:p>
        </w:tc>
        <w:tc>
          <w:tcPr>
            <w:tcW w:w="626" w:type="pct"/>
            <w:tcBorders>
              <w:bottom w:val="single" w:sz="12" w:space="0" w:color="FFFFFF"/>
            </w:tcBorders>
            <w:shd w:val="clear" w:color="auto" w:fill="106CB5"/>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 xml:space="preserve">Similar School </w:t>
            </w:r>
            <w:r>
              <w:rPr>
                <w:rFonts w:cs="Times New Roman"/>
                <w:bCs w:val="0"/>
                <w:color w:val="FFFFFF"/>
                <w:szCs w:val="22"/>
              </w:rPr>
              <w:t>Comparison</w:t>
            </w:r>
          </w:p>
        </w:tc>
      </w:tr>
      <w:tr w:rsidR="0053212E" w:rsidTr="0053212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30"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rPr>
                <w:rFonts w:cs="Times New Roman"/>
                <w:szCs w:val="22"/>
              </w:rPr>
            </w:pPr>
          </w:p>
        </w:tc>
        <w:tc>
          <w:tcPr>
            <w:tcW w:w="627"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627"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627" w:type="pct"/>
            <w:tcBorders>
              <w:top w:val="single" w:sz="12" w:space="0" w:color="FFFFFF"/>
              <w:bottom w:val="single" w:sz="2" w:space="0" w:color="106CB5"/>
            </w:tcBorders>
            <w:shd w:val="clear" w:color="auto" w:fill="FFFFFF"/>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663"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626" w:type="pct"/>
            <w:tcBorders>
              <w:top w:val="single" w:sz="12" w:space="0" w:color="FFFFFF"/>
              <w:bottom w:val="single" w:sz="2" w:space="0" w:color="106CB5"/>
            </w:tcBorders>
            <w:shd w:val="clear" w:color="auto" w:fill="FFFFFF"/>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p>
        </w:tc>
      </w:tr>
      <w:tr w:rsidR="0053212E" w:rsidTr="005321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0" w:type="pct"/>
            <w:tcBorders>
              <w:top w:val="single" w:sz="2" w:space="0" w:color="106CB5"/>
              <w:bottom w:val="single" w:sz="2" w:space="0" w:color="126CB5"/>
            </w:tcBorders>
            <w:shd w:val="clear" w:color="auto" w:fill="D9D9D9" w:themeFill="background1" w:themeFillShade="D9"/>
            <w:noWrap/>
            <w:vAlign w:val="center"/>
          </w:tcPr>
          <w:p w:rsidR="00ED2B37" w:rsidRDefault="00D83B4B">
            <w:pPr>
              <w:spacing w:before="40" w:after="40" w:line="240" w:lineRule="auto"/>
              <w:rPr>
                <w:rFonts w:cs="Times New Roman"/>
                <w:szCs w:val="22"/>
              </w:rPr>
            </w:pPr>
            <w:r>
              <w:rPr>
                <w:rFonts w:cs="Times New Roman"/>
                <w:szCs w:val="22"/>
              </w:rPr>
              <w:t>Percent endorsement (latest year)</w:t>
            </w:r>
          </w:p>
        </w:tc>
        <w:tc>
          <w:tcPr>
            <w:tcW w:w="627" w:type="pct"/>
            <w:tcBorders>
              <w:top w:val="single" w:sz="2" w:space="0" w:color="106CB5"/>
              <w:bottom w:val="single" w:sz="2" w:space="0" w:color="126CB5"/>
            </w:tcBorders>
            <w:shd w:val="clear" w:color="auto" w:fill="D9D9D9" w:themeFill="background1" w:themeFillShade="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 xml:space="preserve"> 80.1</w:t>
            </w:r>
          </w:p>
        </w:tc>
        <w:tc>
          <w:tcPr>
            <w:tcW w:w="627" w:type="pct"/>
            <w:tcBorders>
              <w:top w:val="single" w:sz="2" w:space="0" w:color="106CB5"/>
              <w:bottom w:val="single" w:sz="2" w:space="0" w:color="126CB5"/>
            </w:tcBorders>
            <w:shd w:val="clear" w:color="auto" w:fill="D9D9D9" w:themeFill="background1" w:themeFillShade="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 xml:space="preserve"> 80.9</w:t>
            </w:r>
          </w:p>
        </w:tc>
        <w:tc>
          <w:tcPr>
            <w:tcW w:w="627" w:type="pct"/>
            <w:tcBorders>
              <w:top w:val="single" w:sz="2" w:space="0" w:color="106CB5"/>
              <w:bottom w:val="single" w:sz="2" w:space="0" w:color="126CB5"/>
            </w:tcBorders>
            <w:shd w:val="clear" w:color="auto" w:fill="D9D9D9" w:themeFill="background1" w:themeFillShade="D9"/>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 xml:space="preserve"> 71.8</w:t>
            </w:r>
          </w:p>
        </w:tc>
        <w:tc>
          <w:tcPr>
            <w:tcW w:w="663" w:type="pct"/>
            <w:tcBorders>
              <w:top w:val="single" w:sz="2" w:space="0" w:color="106CB5"/>
              <w:bottom w:val="single" w:sz="2" w:space="0" w:color="126CB5"/>
            </w:tcBorders>
            <w:shd w:val="clear" w:color="auto" w:fill="D9D9D9" w:themeFill="background1" w:themeFillShade="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 xml:space="preserve"> 88.9</w:t>
            </w:r>
          </w:p>
        </w:tc>
        <w:tc>
          <w:tcPr>
            <w:tcW w:w="626" w:type="pct"/>
            <w:tcBorders>
              <w:top w:val="single" w:sz="2" w:space="0" w:color="106CB5"/>
              <w:bottom w:val="single" w:sz="2" w:space="0" w:color="126CB5"/>
            </w:tcBorders>
            <w:shd w:val="clear" w:color="auto" w:fill="D9D9D9" w:themeFill="background1" w:themeFillShade="D9"/>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Similar</w:t>
            </w:r>
          </w:p>
        </w:tc>
      </w:tr>
      <w:tr w:rsidR="0053212E" w:rsidTr="0053212E">
        <w:trPr>
          <w:jc w:val="center"/>
        </w:trPr>
        <w:tc>
          <w:tcPr>
            <w:cnfStyle w:val="001000000000" w:firstRow="0" w:lastRow="0" w:firstColumn="1" w:lastColumn="0" w:oddVBand="0" w:evenVBand="0" w:oddHBand="0" w:evenHBand="0" w:firstRowFirstColumn="0" w:firstRowLastColumn="0" w:lastRowFirstColumn="0" w:lastRowLastColumn="0"/>
            <w:tcW w:w="1830" w:type="pct"/>
            <w:tcBorders>
              <w:top w:val="single" w:sz="2" w:space="0" w:color="126CB5"/>
              <w:bottom w:val="single" w:sz="2" w:space="0" w:color="106CB5"/>
            </w:tcBorders>
            <w:shd w:val="clear" w:color="auto" w:fill="FFFFFF" w:themeFill="background1"/>
            <w:noWrap/>
            <w:vAlign w:val="center"/>
          </w:tcPr>
          <w:p w:rsidR="00ED2B37" w:rsidRDefault="00D83B4B" w:rsidP="005A2650">
            <w:pPr>
              <w:spacing w:before="40" w:after="40" w:line="240" w:lineRule="auto"/>
              <w:rPr>
                <w:rFonts w:cs="Times New Roman"/>
                <w:szCs w:val="22"/>
              </w:rPr>
            </w:pPr>
            <w:r>
              <w:rPr>
                <w:rFonts w:cs="Times New Roman"/>
                <w:szCs w:val="22"/>
              </w:rPr>
              <w:t>Percent endorsement (3 year average)</w:t>
            </w:r>
          </w:p>
        </w:tc>
        <w:tc>
          <w:tcPr>
            <w:tcW w:w="627" w:type="pct"/>
            <w:tcBorders>
              <w:top w:val="single" w:sz="2" w:space="0" w:color="126CB5"/>
              <w:bottom w:val="single" w:sz="2" w:space="0" w:color="106CB5"/>
            </w:tcBorders>
            <w:shd w:val="clear" w:color="auto" w:fill="FFFFFF" w:themeFill="background1"/>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 xml:space="preserve"> 82.0</w:t>
            </w:r>
          </w:p>
        </w:tc>
        <w:tc>
          <w:tcPr>
            <w:tcW w:w="627" w:type="pct"/>
            <w:tcBorders>
              <w:top w:val="single" w:sz="2" w:space="0" w:color="126CB5"/>
              <w:bottom w:val="single" w:sz="2" w:space="0" w:color="106CB5"/>
            </w:tcBorders>
            <w:shd w:val="clear" w:color="auto" w:fill="FFFFFF" w:themeFill="background1"/>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 xml:space="preserve"> 81.4</w:t>
            </w:r>
          </w:p>
        </w:tc>
        <w:tc>
          <w:tcPr>
            <w:tcW w:w="627" w:type="pct"/>
            <w:tcBorders>
              <w:top w:val="single" w:sz="2" w:space="0" w:color="126CB5"/>
              <w:bottom w:val="single" w:sz="2" w:space="0" w:color="106CB5"/>
            </w:tcBorders>
            <w:shd w:val="clear" w:color="auto" w:fill="FFFFFF" w:themeFill="background1"/>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 xml:space="preserve"> 73.9</w:t>
            </w:r>
          </w:p>
        </w:tc>
        <w:tc>
          <w:tcPr>
            <w:tcW w:w="663" w:type="pct"/>
            <w:tcBorders>
              <w:top w:val="single" w:sz="2" w:space="0" w:color="126CB5"/>
              <w:bottom w:val="single" w:sz="2" w:space="0" w:color="106CB5"/>
            </w:tcBorders>
            <w:shd w:val="clear" w:color="auto" w:fill="FFFFFF" w:themeFill="background1"/>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 xml:space="preserve"> 88.1</w:t>
            </w:r>
          </w:p>
        </w:tc>
        <w:tc>
          <w:tcPr>
            <w:tcW w:w="626" w:type="pct"/>
            <w:tcBorders>
              <w:top w:val="single" w:sz="2" w:space="0" w:color="126CB5"/>
              <w:bottom w:val="single" w:sz="2" w:space="0" w:color="106CB5"/>
            </w:tcBorders>
            <w:shd w:val="clear" w:color="auto" w:fill="FFFFFF" w:themeFill="background1"/>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w:t>
            </w:r>
          </w:p>
        </w:tc>
      </w:tr>
    </w:tbl>
    <w:p w:rsidR="00ED2B37" w:rsidRDefault="00D83B4B">
      <w:pPr>
        <w:spacing w:after="0" w:line="240" w:lineRule="auto"/>
      </w:pPr>
    </w:p>
    <w:p w:rsidR="00ED2B37" w:rsidRDefault="00D83B4B">
      <w:pPr>
        <w:pStyle w:val="ESBodyText"/>
        <w:rPr>
          <w:rFonts w:eastAsiaTheme="majorEastAsia" w:cstheme="majorBidi"/>
          <w:bCs/>
          <w:szCs w:val="20"/>
        </w:rPr>
      </w:pPr>
    </w:p>
    <w:p w:rsidR="00ED2B37" w:rsidRDefault="00D83B4B">
      <w:pPr>
        <w:pStyle w:val="ESBodyText"/>
        <w:rPr>
          <w:rFonts w:eastAsiaTheme="majorEastAsia" w:cstheme="majorBidi"/>
          <w:b/>
          <w:bCs/>
          <w:color w:val="00008B"/>
          <w:szCs w:val="20"/>
        </w:rPr>
      </w:pPr>
      <w:r>
        <w:rPr>
          <w:rFonts w:eastAsiaTheme="majorEastAsia" w:cstheme="majorBidi"/>
          <w:b/>
          <w:bCs/>
          <w:color w:val="00008B"/>
          <w:szCs w:val="20"/>
        </w:rPr>
        <w:t>Student Attitudes to School – Management of Bullying</w:t>
      </w:r>
    </w:p>
    <w:p w:rsidR="00ED2B37" w:rsidRDefault="00D83B4B">
      <w:pPr>
        <w:pStyle w:val="ESBodyText"/>
        <w:rPr>
          <w:rFonts w:eastAsiaTheme="majorEastAsia" w:cstheme="majorBidi"/>
          <w:bCs/>
          <w:szCs w:val="20"/>
        </w:rPr>
      </w:pPr>
      <w:r>
        <w:t>The percent endorsement</w:t>
      </w:r>
      <w:r>
        <w:t xml:space="preserve"> on Management of Bullying factor, as reported in the Attitudes to School Survey completed annually by Victorian Government school students in year levels 4 to 6.</w:t>
      </w:r>
    </w:p>
    <w:p w:rsidR="00ED2B37" w:rsidRDefault="00D83B4B">
      <w:pPr>
        <w:pStyle w:val="ESBodyText"/>
      </w:pPr>
      <w:r>
        <w:t>Percent endorsement indicates the percent of positive responses (agree or strongly agree).</w:t>
      </w:r>
    </w:p>
    <w:tbl>
      <w:tblPr>
        <w:tblStyle w:val="GridTable2-Accent61"/>
        <w:tblW w:w="4843" w:type="pct"/>
        <w:jc w:val="center"/>
        <w:tblLook w:val="04A0" w:firstRow="1" w:lastRow="0" w:firstColumn="1" w:lastColumn="0" w:noHBand="0" w:noVBand="1"/>
        <w:tblCaption w:val="Attitude to schools survey - student perception of safety"/>
      </w:tblPr>
      <w:tblGrid>
        <w:gridCol w:w="3800"/>
        <w:gridCol w:w="1293"/>
        <w:gridCol w:w="1293"/>
        <w:gridCol w:w="1293"/>
        <w:gridCol w:w="1460"/>
        <w:gridCol w:w="1289"/>
      </w:tblGrid>
      <w:tr w:rsidR="0053212E" w:rsidTr="0053212E">
        <w:trPr>
          <w:cnfStyle w:val="100000000000" w:firstRow="1" w:lastRow="0" w:firstColumn="0" w:lastColumn="0" w:oddVBand="0" w:evenVBand="0" w:oddHBand="0" w:evenHBand="0" w:firstRowFirstColumn="0" w:firstRowLastColumn="0" w:lastRowFirstColumn="0" w:lastRowLastColumn="0"/>
          <w:trHeight w:val="661"/>
          <w:tblHeader/>
          <w:jc w:val="center"/>
        </w:trPr>
        <w:tc>
          <w:tcPr>
            <w:cnfStyle w:val="001000000000" w:firstRow="0" w:lastRow="0" w:firstColumn="1" w:lastColumn="0" w:oddVBand="0" w:evenVBand="0" w:oddHBand="0" w:evenHBand="0" w:firstRowFirstColumn="0" w:firstRowLastColumn="0" w:lastRowFirstColumn="0" w:lastRowLastColumn="0"/>
            <w:tcW w:w="1822" w:type="pct"/>
            <w:tcBorders>
              <w:bottom w:val="single" w:sz="12" w:space="0" w:color="FFFFFF"/>
            </w:tcBorders>
            <w:shd w:val="clear" w:color="auto" w:fill="106CB5"/>
            <w:vAlign w:val="center"/>
            <w:hideMark/>
          </w:tcPr>
          <w:p w:rsidR="00ED2B37" w:rsidRDefault="00D83B4B">
            <w:pPr>
              <w:spacing w:before="40" w:after="40" w:line="240" w:lineRule="auto"/>
              <w:rPr>
                <w:rFonts w:cs="Times New Roman"/>
                <w:color w:val="FFFFFF"/>
                <w:szCs w:val="22"/>
              </w:rPr>
            </w:pPr>
            <w:r>
              <w:t xml:space="preserve"> </w:t>
            </w:r>
            <w:r>
              <w:rPr>
                <w:rFonts w:cs="Times New Roman"/>
                <w:color w:val="FFFFFF"/>
                <w:szCs w:val="22"/>
              </w:rPr>
              <w:t>M</w:t>
            </w:r>
            <w:r>
              <w:rPr>
                <w:rFonts w:cs="Times New Roman"/>
                <w:color w:val="FFFFFF"/>
                <w:szCs w:val="22"/>
              </w:rPr>
              <w:t>anagement of Bullying</w:t>
            </w:r>
          </w:p>
        </w:tc>
        <w:tc>
          <w:tcPr>
            <w:tcW w:w="620" w:type="pct"/>
            <w:tcBorders>
              <w:bottom w:val="single" w:sz="12" w:space="0" w:color="FFFFFF"/>
            </w:tcBorders>
            <w:shd w:val="clear" w:color="auto" w:fill="106CB5"/>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color w:val="FFFFFF"/>
                <w:szCs w:val="22"/>
              </w:rPr>
              <w:t>School</w:t>
            </w:r>
          </w:p>
        </w:tc>
        <w:tc>
          <w:tcPr>
            <w:tcW w:w="620" w:type="pct"/>
            <w:tcBorders>
              <w:bottom w:val="single" w:sz="12" w:space="0" w:color="FFFFFF"/>
            </w:tcBorders>
            <w:shd w:val="clear" w:color="auto" w:fill="106CB5"/>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color w:val="FFFFFF"/>
                <w:szCs w:val="22"/>
              </w:rPr>
              <w:t>State Median</w:t>
            </w:r>
          </w:p>
        </w:tc>
        <w:tc>
          <w:tcPr>
            <w:tcW w:w="620" w:type="pct"/>
            <w:tcBorders>
              <w:bottom w:val="single" w:sz="12" w:space="0" w:color="FFFFFF"/>
            </w:tcBorders>
            <w:shd w:val="clear" w:color="auto" w:fill="106CB5"/>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Middle 60 percent low</w:t>
            </w:r>
          </w:p>
        </w:tc>
        <w:tc>
          <w:tcPr>
            <w:tcW w:w="700" w:type="pct"/>
            <w:tcBorders>
              <w:bottom w:val="single" w:sz="12" w:space="0" w:color="FFFFFF"/>
            </w:tcBorders>
            <w:shd w:val="clear" w:color="auto" w:fill="106CB5"/>
            <w:vAlign w:val="center"/>
            <w:hideMark/>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Middle 60 percent high</w:t>
            </w:r>
          </w:p>
        </w:tc>
        <w:tc>
          <w:tcPr>
            <w:tcW w:w="618" w:type="pct"/>
            <w:tcBorders>
              <w:bottom w:val="single" w:sz="12" w:space="0" w:color="FFFFFF"/>
            </w:tcBorders>
            <w:shd w:val="clear" w:color="auto" w:fill="106CB5"/>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FFFFFF"/>
                <w:szCs w:val="22"/>
              </w:rPr>
            </w:pPr>
            <w:r>
              <w:rPr>
                <w:rFonts w:cs="Times New Roman"/>
                <w:bCs w:val="0"/>
                <w:color w:val="FFFFFF"/>
                <w:szCs w:val="22"/>
              </w:rPr>
              <w:t>Similar School Comparison</w:t>
            </w:r>
          </w:p>
        </w:tc>
      </w:tr>
      <w:tr w:rsidR="0053212E" w:rsidTr="0053212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22"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rPr>
                <w:rFonts w:cs="Times New Roman"/>
                <w:szCs w:val="22"/>
              </w:rPr>
            </w:pPr>
          </w:p>
        </w:tc>
        <w:tc>
          <w:tcPr>
            <w:tcW w:w="620"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620"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620" w:type="pct"/>
            <w:tcBorders>
              <w:top w:val="single" w:sz="12" w:space="0" w:color="FFFFFF"/>
              <w:bottom w:val="single" w:sz="2" w:space="0" w:color="106CB5"/>
            </w:tcBorders>
            <w:shd w:val="clear" w:color="auto" w:fill="FFFFFF"/>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700" w:type="pct"/>
            <w:tcBorders>
              <w:top w:val="single" w:sz="12" w:space="0" w:color="FFFFFF"/>
              <w:bottom w:val="single" w:sz="2" w:space="0" w:color="106CB5"/>
            </w:tcBorders>
            <w:shd w:val="clear" w:color="auto" w:fill="FFFFFF"/>
            <w:noWrap/>
            <w:vAlign w:val="center"/>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r>
              <w:rPr>
                <w:rFonts w:cs="Times New Roman"/>
                <w:szCs w:val="22"/>
              </w:rPr>
              <w:t>Percent</w:t>
            </w:r>
          </w:p>
        </w:tc>
        <w:tc>
          <w:tcPr>
            <w:tcW w:w="618" w:type="pct"/>
            <w:tcBorders>
              <w:top w:val="single" w:sz="12" w:space="0" w:color="FFFFFF"/>
              <w:bottom w:val="single" w:sz="2" w:space="0" w:color="106CB5"/>
            </w:tcBorders>
            <w:shd w:val="clear" w:color="auto" w:fill="FFFFFF"/>
          </w:tcPr>
          <w:p w:rsidR="00ED2B37" w:rsidRDefault="00D83B4B">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cs="Times New Roman"/>
                <w:szCs w:val="22"/>
              </w:rPr>
            </w:pPr>
          </w:p>
        </w:tc>
      </w:tr>
      <w:tr w:rsidR="0053212E" w:rsidTr="005321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2" w:type="pct"/>
            <w:tcBorders>
              <w:top w:val="single" w:sz="2" w:space="0" w:color="106CB5"/>
              <w:bottom w:val="single" w:sz="2" w:space="0" w:color="106CB5"/>
            </w:tcBorders>
            <w:shd w:val="clear" w:color="auto" w:fill="D9D9D9" w:themeFill="background1" w:themeFillShade="D9"/>
            <w:noWrap/>
            <w:vAlign w:val="center"/>
          </w:tcPr>
          <w:p w:rsidR="00ED2B37" w:rsidRDefault="00D83B4B">
            <w:pPr>
              <w:spacing w:before="40" w:after="40" w:line="240" w:lineRule="auto"/>
              <w:rPr>
                <w:rFonts w:cs="Times New Roman"/>
                <w:szCs w:val="22"/>
              </w:rPr>
            </w:pPr>
            <w:r>
              <w:rPr>
                <w:rFonts w:cs="Times New Roman"/>
                <w:szCs w:val="22"/>
              </w:rPr>
              <w:t>Percent endorsement (latest year)</w:t>
            </w:r>
          </w:p>
        </w:tc>
        <w:tc>
          <w:tcPr>
            <w:tcW w:w="620" w:type="pct"/>
            <w:tcBorders>
              <w:top w:val="single" w:sz="2" w:space="0" w:color="106CB5"/>
              <w:bottom w:val="single" w:sz="2" w:space="0" w:color="106CB5"/>
            </w:tcBorders>
            <w:shd w:val="clear" w:color="auto" w:fill="D9D9D9" w:themeFill="background1" w:themeFillShade="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 xml:space="preserve"> 81.8</w:t>
            </w:r>
          </w:p>
        </w:tc>
        <w:tc>
          <w:tcPr>
            <w:tcW w:w="620" w:type="pct"/>
            <w:tcBorders>
              <w:top w:val="single" w:sz="2" w:space="0" w:color="106CB5"/>
              <w:bottom w:val="single" w:sz="2" w:space="0" w:color="106CB5"/>
            </w:tcBorders>
            <w:shd w:val="clear" w:color="auto" w:fill="D9D9D9" w:themeFill="background1" w:themeFillShade="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 xml:space="preserve"> 81.6</w:t>
            </w:r>
          </w:p>
        </w:tc>
        <w:tc>
          <w:tcPr>
            <w:tcW w:w="620" w:type="pct"/>
            <w:tcBorders>
              <w:top w:val="single" w:sz="2" w:space="0" w:color="106CB5"/>
              <w:bottom w:val="single" w:sz="2" w:space="0" w:color="106CB5"/>
            </w:tcBorders>
            <w:shd w:val="clear" w:color="auto" w:fill="D9D9D9" w:themeFill="background1" w:themeFillShade="D9"/>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 xml:space="preserve"> 72.2</w:t>
            </w:r>
          </w:p>
        </w:tc>
        <w:tc>
          <w:tcPr>
            <w:tcW w:w="700" w:type="pct"/>
            <w:tcBorders>
              <w:top w:val="single" w:sz="2" w:space="0" w:color="106CB5"/>
              <w:bottom w:val="single" w:sz="2" w:space="0" w:color="106CB5"/>
            </w:tcBorders>
            <w:shd w:val="clear" w:color="auto" w:fill="D9D9D9" w:themeFill="background1" w:themeFillShade="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 xml:space="preserve"> 90.0</w:t>
            </w:r>
          </w:p>
        </w:tc>
        <w:tc>
          <w:tcPr>
            <w:tcW w:w="618" w:type="pct"/>
            <w:tcBorders>
              <w:top w:val="single" w:sz="2" w:space="0" w:color="106CB5"/>
              <w:bottom w:val="single" w:sz="2" w:space="0" w:color="106CB5"/>
            </w:tcBorders>
            <w:shd w:val="clear" w:color="auto" w:fill="D9D9D9" w:themeFill="background1" w:themeFillShade="D9"/>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Above</w:t>
            </w:r>
          </w:p>
        </w:tc>
      </w:tr>
      <w:tr w:rsidR="0053212E" w:rsidTr="0053212E">
        <w:tblPrEx>
          <w:jc w:val="left"/>
        </w:tblPrEx>
        <w:tc>
          <w:tcPr>
            <w:cnfStyle w:val="001000000000" w:firstRow="0" w:lastRow="0" w:firstColumn="1" w:lastColumn="0" w:oddVBand="0" w:evenVBand="0" w:oddHBand="0" w:evenHBand="0" w:firstRowFirstColumn="0" w:firstRowLastColumn="0" w:lastRowFirstColumn="0" w:lastRowLastColumn="0"/>
            <w:tcW w:w="1822" w:type="pct"/>
            <w:tcBorders>
              <w:top w:val="single" w:sz="2" w:space="0" w:color="106CB5"/>
              <w:bottom w:val="single" w:sz="2" w:space="0" w:color="106CB5"/>
            </w:tcBorders>
            <w:noWrap/>
          </w:tcPr>
          <w:p w:rsidR="00ED2B37" w:rsidRDefault="00D83B4B" w:rsidP="005A2650">
            <w:pPr>
              <w:spacing w:before="40" w:after="40" w:line="240" w:lineRule="auto"/>
              <w:rPr>
                <w:rFonts w:cs="Times New Roman"/>
                <w:szCs w:val="22"/>
              </w:rPr>
            </w:pPr>
            <w:r>
              <w:rPr>
                <w:rFonts w:cs="Times New Roman"/>
                <w:szCs w:val="22"/>
              </w:rPr>
              <w:t>Percent endorsement (3 year average)</w:t>
            </w:r>
          </w:p>
        </w:tc>
        <w:tc>
          <w:tcPr>
            <w:tcW w:w="620" w:type="pct"/>
            <w:tcBorders>
              <w:top w:val="single" w:sz="2" w:space="0" w:color="106CB5"/>
              <w:bottom w:val="single" w:sz="2" w:space="0" w:color="106CB5"/>
            </w:tcBorders>
            <w:noWrap/>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 xml:space="preserve"> 80.5</w:t>
            </w:r>
          </w:p>
        </w:tc>
        <w:tc>
          <w:tcPr>
            <w:tcW w:w="620" w:type="pct"/>
            <w:tcBorders>
              <w:top w:val="single" w:sz="2" w:space="0" w:color="106CB5"/>
              <w:bottom w:val="single" w:sz="2" w:space="0" w:color="106CB5"/>
            </w:tcBorders>
            <w:noWrap/>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 xml:space="preserve"> 81.7</w:t>
            </w:r>
          </w:p>
        </w:tc>
        <w:tc>
          <w:tcPr>
            <w:tcW w:w="620" w:type="pct"/>
            <w:tcBorders>
              <w:top w:val="single" w:sz="2" w:space="0" w:color="106CB5"/>
              <w:bottom w:val="single" w:sz="2" w:space="0" w:color="106CB5"/>
            </w:tcBorders>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 xml:space="preserve"> 74.4</w:t>
            </w:r>
          </w:p>
        </w:tc>
        <w:tc>
          <w:tcPr>
            <w:tcW w:w="700" w:type="pct"/>
            <w:tcBorders>
              <w:top w:val="single" w:sz="2" w:space="0" w:color="106CB5"/>
              <w:bottom w:val="single" w:sz="2" w:space="0" w:color="106CB5"/>
            </w:tcBorders>
            <w:noWrap/>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 xml:space="preserve"> 89.1</w:t>
            </w:r>
          </w:p>
        </w:tc>
        <w:tc>
          <w:tcPr>
            <w:tcW w:w="618" w:type="pct"/>
            <w:tcBorders>
              <w:top w:val="single" w:sz="2" w:space="0" w:color="106CB5"/>
              <w:bottom w:val="single" w:sz="2" w:space="0" w:color="106CB5"/>
            </w:tcBorders>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w:t>
            </w:r>
          </w:p>
        </w:tc>
      </w:tr>
    </w:tbl>
    <w:p w:rsidR="00ED2B37" w:rsidRDefault="00D83B4B">
      <w:pPr>
        <w:spacing w:after="0" w:line="240" w:lineRule="auto"/>
      </w:pPr>
    </w:p>
    <w:p w:rsidR="00ED2B37" w:rsidRDefault="00D83B4B">
      <w:pPr>
        <w:spacing w:after="0" w:line="240" w:lineRule="auto"/>
      </w:pPr>
      <w:r>
        <w:br w:type="page"/>
      </w:r>
    </w:p>
    <w:p w:rsidR="00ED2B37" w:rsidRDefault="00D83B4B">
      <w:pPr>
        <w:spacing w:after="0" w:line="240" w:lineRule="auto"/>
        <w:jc w:val="center"/>
        <w:rPr>
          <w:rFonts w:eastAsia="MS Gothic" w:cs="Times New Roman"/>
          <w:b/>
          <w:spacing w:val="5"/>
          <w:kern w:val="28"/>
          <w:sz w:val="44"/>
          <w:szCs w:val="52"/>
        </w:rPr>
      </w:pPr>
      <w:r>
        <w:rPr>
          <w:rFonts w:eastAsia="MS Gothic" w:cs="Times New Roman"/>
          <w:b/>
          <w:spacing w:val="5"/>
          <w:kern w:val="28"/>
          <w:sz w:val="44"/>
          <w:szCs w:val="52"/>
        </w:rPr>
        <w:t>Financial Performance and Position</w:t>
      </w:r>
    </w:p>
    <w:p w:rsidR="00ED2B37" w:rsidRDefault="00D83B4B">
      <w:pPr>
        <w:keepNext/>
        <w:keepLines/>
        <w:spacing w:before="360"/>
        <w:outlineLvl w:val="0"/>
        <w:rPr>
          <w:rFonts w:eastAsia="MS Gothic" w:cs="Times New Roman"/>
          <w:b/>
          <w:bCs/>
          <w:caps/>
          <w:color w:val="00008B"/>
          <w:sz w:val="20"/>
          <w:szCs w:val="20"/>
          <w:u w:val="single"/>
        </w:rPr>
      </w:pPr>
      <w:r>
        <w:rPr>
          <w:rFonts w:eastAsia="MS Gothic" w:cs="Times New Roman"/>
          <w:b/>
          <w:bCs/>
          <w:caps/>
          <w:color w:val="00008B"/>
          <w:sz w:val="20"/>
          <w:szCs w:val="20"/>
          <w:u w:val="single"/>
        </w:rPr>
        <w:t>Financial Performance - Operating Statement Summary for the year ending 31 December, 2019</w:t>
      </w:r>
    </w:p>
    <w:tbl>
      <w:tblPr>
        <w:tblStyle w:val="GridTable2-Accent6121"/>
        <w:tblW w:w="2876" w:type="pct"/>
        <w:jc w:val="center"/>
        <w:tblLook w:val="04A0" w:firstRow="1" w:lastRow="0" w:firstColumn="1" w:lastColumn="0" w:noHBand="0" w:noVBand="1"/>
        <w:tblCaption w:val="FInance - Revenue Table"/>
      </w:tblPr>
      <w:tblGrid>
        <w:gridCol w:w="4428"/>
        <w:gridCol w:w="1765"/>
      </w:tblGrid>
      <w:tr w:rsidR="0053212E" w:rsidTr="0053212E">
        <w:trPr>
          <w:cnfStyle w:val="100000000000" w:firstRow="1" w:lastRow="0" w:firstColumn="0" w:lastColumn="0" w:oddVBand="0" w:evenVBand="0" w:oddHBand="0" w:evenHBand="0" w:firstRowFirstColumn="0" w:firstRowLastColumn="0" w:lastRowFirstColumn="0" w:lastRowLastColumn="0"/>
          <w:trHeight w:hRule="exact" w:val="454"/>
          <w:tblHeader/>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106CB5"/>
            <w:vAlign w:val="center"/>
            <w:hideMark/>
          </w:tcPr>
          <w:p w:rsidR="00ED2B37" w:rsidRDefault="00D83B4B">
            <w:pPr>
              <w:spacing w:before="40" w:after="40" w:line="240" w:lineRule="auto"/>
              <w:rPr>
                <w:rFonts w:eastAsia="MS Mincho" w:cs="Times New Roman"/>
                <w:color w:val="FFFFFF"/>
                <w:szCs w:val="22"/>
              </w:rPr>
            </w:pPr>
            <w:r>
              <w:rPr>
                <w:rFonts w:eastAsia="MS Mincho" w:cs="Times New Roman"/>
                <w:b w:val="0"/>
                <w:color w:val="FFFFFF"/>
                <w:szCs w:val="22"/>
              </w:rPr>
              <w:t>Revenue</w:t>
            </w:r>
          </w:p>
        </w:tc>
        <w:tc>
          <w:tcPr>
            <w:tcW w:w="1425" w:type="pct"/>
            <w:shd w:val="clear" w:color="auto" w:fill="106CB5"/>
            <w:vAlign w:val="center"/>
            <w:hideMark/>
          </w:tcPr>
          <w:p w:rsidR="00ED2B37" w:rsidRDefault="00D83B4B">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eastAsia="MS Mincho" w:cs="Times New Roman"/>
                <w:color w:val="FFFFFF"/>
                <w:szCs w:val="22"/>
              </w:rPr>
            </w:pPr>
            <w:r>
              <w:rPr>
                <w:rFonts w:eastAsia="MS Mincho" w:cs="Times New Roman"/>
                <w:b w:val="0"/>
                <w:color w:val="FFFFFF"/>
                <w:szCs w:val="22"/>
              </w:rPr>
              <w:t>Actual</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12" w:space="0" w:color="FFFFFF"/>
              <w:bottom w:val="nil"/>
              <w:right w:val="single" w:sz="4" w:space="0" w:color="FFFFFF"/>
            </w:tcBorders>
            <w:shd w:val="clear" w:color="auto" w:fill="D9D9D9"/>
            <w:noWrap/>
            <w:vAlign w:val="center"/>
            <w:hideMark/>
          </w:tcPr>
          <w:p w:rsidR="00ED2B37" w:rsidRDefault="00D83B4B">
            <w:pPr>
              <w:spacing w:before="40" w:after="40" w:line="240" w:lineRule="auto"/>
              <w:rPr>
                <w:rFonts w:eastAsia="MS Mincho" w:cs="Times New Roman"/>
                <w:szCs w:val="22"/>
              </w:rPr>
            </w:pPr>
            <w:r>
              <w:rPr>
                <w:rFonts w:eastAsia="MS Mincho" w:cs="Times New Roman"/>
                <w:b w:val="0"/>
                <w:szCs w:val="22"/>
              </w:rPr>
              <w:t>Student Resource Package</w:t>
            </w:r>
          </w:p>
        </w:tc>
        <w:tc>
          <w:tcPr>
            <w:tcW w:w="1425" w:type="pct"/>
            <w:tcBorders>
              <w:top w:val="single" w:sz="12" w:space="0" w:color="FFFFFF"/>
              <w:left w:val="single" w:sz="4" w:space="0" w:color="FFFFFF"/>
              <w:bottom w:val="nil"/>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$5,092,886</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single" w:sz="4" w:space="0" w:color="FFFFFF"/>
            </w:tcBorders>
            <w:noWrap/>
            <w:vAlign w:val="center"/>
            <w:hideMark/>
          </w:tcPr>
          <w:p w:rsidR="00ED2B37" w:rsidRDefault="00D83B4B">
            <w:pPr>
              <w:spacing w:before="40" w:after="40" w:line="240" w:lineRule="auto"/>
              <w:rPr>
                <w:rFonts w:eastAsia="MS Mincho" w:cs="Times New Roman"/>
                <w:szCs w:val="22"/>
              </w:rPr>
            </w:pPr>
            <w:r>
              <w:rPr>
                <w:rFonts w:eastAsia="MS Mincho" w:cs="Times New Roman"/>
                <w:b w:val="0"/>
                <w:szCs w:val="22"/>
              </w:rPr>
              <w:t>Government Provided DET Grants</w:t>
            </w:r>
          </w:p>
        </w:tc>
        <w:tc>
          <w:tcPr>
            <w:tcW w:w="1425" w:type="pct"/>
            <w:tcBorders>
              <w:top w:val="nil"/>
              <w:left w:val="single" w:sz="4" w:space="0" w:color="FFFFFF"/>
              <w:bottom w:val="nil"/>
            </w:tcBorders>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$457,741</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single" w:sz="4" w:space="0" w:color="FFFFFF"/>
            </w:tcBorders>
            <w:shd w:val="clear" w:color="auto" w:fill="D9D9D9"/>
            <w:noWrap/>
            <w:vAlign w:val="center"/>
            <w:hideMark/>
          </w:tcPr>
          <w:p w:rsidR="00ED2B37" w:rsidRDefault="00D83B4B">
            <w:pPr>
              <w:spacing w:before="40" w:after="40" w:line="240" w:lineRule="auto"/>
              <w:rPr>
                <w:rFonts w:eastAsia="MS Mincho" w:cs="Times New Roman"/>
                <w:szCs w:val="22"/>
              </w:rPr>
            </w:pPr>
            <w:r>
              <w:rPr>
                <w:rFonts w:eastAsia="MS Mincho" w:cs="Times New Roman"/>
                <w:b w:val="0"/>
                <w:szCs w:val="22"/>
              </w:rPr>
              <w:t xml:space="preserve">Government </w:t>
            </w:r>
            <w:r>
              <w:rPr>
                <w:rFonts w:eastAsia="MS Mincho" w:cs="Times New Roman"/>
                <w:b w:val="0"/>
                <w:szCs w:val="22"/>
              </w:rPr>
              <w:t>Grants Commonwealth</w:t>
            </w:r>
          </w:p>
        </w:tc>
        <w:tc>
          <w:tcPr>
            <w:tcW w:w="1425" w:type="pct"/>
            <w:tcBorders>
              <w:top w:val="nil"/>
              <w:left w:val="single" w:sz="4" w:space="0" w:color="FFFFFF"/>
              <w:bottom w:val="nil"/>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$328,102</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single" w:sz="4" w:space="0" w:color="FFFFFF"/>
            </w:tcBorders>
            <w:noWrap/>
            <w:vAlign w:val="center"/>
            <w:hideMark/>
          </w:tcPr>
          <w:p w:rsidR="00ED2B37" w:rsidRDefault="00D83B4B">
            <w:pPr>
              <w:spacing w:before="40" w:after="40" w:line="240" w:lineRule="auto"/>
              <w:rPr>
                <w:rFonts w:eastAsia="MS Mincho" w:cs="Times New Roman"/>
                <w:szCs w:val="22"/>
              </w:rPr>
            </w:pPr>
            <w:r>
              <w:rPr>
                <w:rFonts w:eastAsia="MS Mincho" w:cs="Times New Roman"/>
                <w:b w:val="0"/>
                <w:szCs w:val="22"/>
              </w:rPr>
              <w:t>Government Grants State</w:t>
            </w:r>
          </w:p>
        </w:tc>
        <w:tc>
          <w:tcPr>
            <w:tcW w:w="1425" w:type="pct"/>
            <w:tcBorders>
              <w:top w:val="nil"/>
              <w:left w:val="single" w:sz="4" w:space="0" w:color="FFFFFF"/>
              <w:bottom w:val="nil"/>
            </w:tcBorders>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$0</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single" w:sz="4" w:space="0" w:color="FFFFFF"/>
            </w:tcBorders>
            <w:shd w:val="clear" w:color="auto" w:fill="D9D9D9"/>
            <w:noWrap/>
            <w:vAlign w:val="center"/>
            <w:hideMark/>
          </w:tcPr>
          <w:p w:rsidR="00ED2B37" w:rsidRDefault="00D83B4B">
            <w:pPr>
              <w:spacing w:before="40" w:after="40" w:line="240" w:lineRule="auto"/>
              <w:rPr>
                <w:rFonts w:eastAsia="MS Mincho" w:cs="Times New Roman"/>
                <w:szCs w:val="22"/>
              </w:rPr>
            </w:pPr>
            <w:r>
              <w:rPr>
                <w:rFonts w:eastAsia="MS Mincho" w:cs="Times New Roman"/>
                <w:b w:val="0"/>
                <w:szCs w:val="22"/>
              </w:rPr>
              <w:t>Revenue Other</w:t>
            </w:r>
          </w:p>
        </w:tc>
        <w:tc>
          <w:tcPr>
            <w:tcW w:w="1425" w:type="pct"/>
            <w:tcBorders>
              <w:top w:val="nil"/>
              <w:left w:val="single" w:sz="4" w:space="0" w:color="FFFFFF"/>
              <w:bottom w:val="nil"/>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$80,329</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auto"/>
            <w:noWrap/>
            <w:vAlign w:val="center"/>
          </w:tcPr>
          <w:p w:rsidR="00ED2B37" w:rsidRDefault="00D83B4B">
            <w:pPr>
              <w:spacing w:before="40" w:after="40" w:line="240" w:lineRule="auto"/>
              <w:rPr>
                <w:rFonts w:eastAsia="MS Mincho" w:cs="Times New Roman"/>
                <w:szCs w:val="22"/>
              </w:rPr>
            </w:pPr>
            <w:r>
              <w:rPr>
                <w:rFonts w:eastAsia="MS Mincho" w:cs="Times New Roman"/>
                <w:b w:val="0"/>
                <w:szCs w:val="22"/>
              </w:rPr>
              <w:t>Locally Raised Funds</w:t>
            </w:r>
          </w:p>
        </w:tc>
        <w:tc>
          <w:tcPr>
            <w:tcW w:w="1425" w:type="pct"/>
            <w:tcBorders>
              <w:top w:val="nil"/>
              <w:left w:val="nil"/>
              <w:bottom w:val="nil"/>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$983,113</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single" w:sz="2" w:space="0" w:color="106CB5"/>
              <w:right w:val="nil"/>
            </w:tcBorders>
            <w:shd w:val="clear" w:color="auto" w:fill="D9D9D9"/>
            <w:noWrap/>
            <w:vAlign w:val="center"/>
          </w:tcPr>
          <w:p w:rsidR="00495A65" w:rsidRPr="00495A65" w:rsidRDefault="00D83B4B">
            <w:pPr>
              <w:spacing w:before="40" w:after="40" w:line="240" w:lineRule="auto"/>
              <w:rPr>
                <w:rFonts w:eastAsia="MS Mincho" w:cs="Times New Roman"/>
                <w:szCs w:val="22"/>
              </w:rPr>
            </w:pPr>
            <w:r w:rsidRPr="00495A65">
              <w:rPr>
                <w:rFonts w:eastAsia="MS Mincho" w:cs="Times New Roman"/>
                <w:b w:val="0"/>
                <w:szCs w:val="22"/>
              </w:rPr>
              <w:t>Capital Grants</w:t>
            </w:r>
          </w:p>
        </w:tc>
        <w:tc>
          <w:tcPr>
            <w:tcW w:w="1425" w:type="pct"/>
            <w:tcBorders>
              <w:top w:val="nil"/>
              <w:left w:val="nil"/>
              <w:bottom w:val="single" w:sz="2" w:space="0" w:color="106CB5"/>
            </w:tcBorders>
            <w:shd w:val="clear" w:color="auto" w:fill="D9D9D9"/>
            <w:noWrap/>
            <w:vAlign w:val="center"/>
          </w:tcPr>
          <w:p w:rsidR="00495A65" w:rsidRDefault="00D83B4B">
            <w:pPr>
              <w:jc w:val="right"/>
              <w:cnfStyle w:val="000000100000" w:firstRow="0" w:lastRow="0" w:firstColumn="0" w:lastColumn="0" w:oddVBand="0" w:evenVBand="0" w:oddHBand="1" w:evenHBand="0" w:firstRowFirstColumn="0" w:firstRowLastColumn="0" w:lastRowFirstColumn="0" w:lastRowLastColumn="0"/>
            </w:pPr>
            <w:r>
              <w:t>$0</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2" w:space="0" w:color="106CB5"/>
              <w:bottom w:val="single" w:sz="2" w:space="0" w:color="106CB5"/>
            </w:tcBorders>
            <w:noWrap/>
            <w:vAlign w:val="center"/>
            <w:hideMark/>
          </w:tcPr>
          <w:p w:rsidR="00ED2B37" w:rsidRDefault="00D83B4B">
            <w:pPr>
              <w:spacing w:before="40" w:after="40" w:line="240" w:lineRule="auto"/>
              <w:rPr>
                <w:rFonts w:eastAsia="MS Mincho" w:cs="Times New Roman"/>
                <w:szCs w:val="22"/>
              </w:rPr>
            </w:pPr>
            <w:r>
              <w:rPr>
                <w:rFonts w:eastAsia="MS Mincho" w:cs="Times New Roman"/>
                <w:szCs w:val="22"/>
              </w:rPr>
              <w:t>Total Operating Revenue</w:t>
            </w:r>
          </w:p>
        </w:tc>
        <w:tc>
          <w:tcPr>
            <w:tcW w:w="1425" w:type="pct"/>
            <w:tcBorders>
              <w:top w:val="single" w:sz="2" w:space="0" w:color="106CB5"/>
              <w:bottom w:val="single" w:sz="2" w:space="0" w:color="106CB5"/>
            </w:tcBorders>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$6,942,172</w:t>
            </w:r>
          </w:p>
        </w:tc>
      </w:tr>
    </w:tbl>
    <w:p w:rsidR="00ED2B37" w:rsidRDefault="00D83B4B">
      <w:pPr>
        <w:spacing w:after="0" w:line="240" w:lineRule="auto"/>
        <w:rPr>
          <w:rFonts w:eastAsia="MS Mincho"/>
        </w:rPr>
      </w:pPr>
    </w:p>
    <w:tbl>
      <w:tblPr>
        <w:tblStyle w:val="GridTable2-Accent6121"/>
        <w:tblW w:w="2876" w:type="pct"/>
        <w:jc w:val="center"/>
        <w:tblLook w:val="04A0" w:firstRow="1" w:lastRow="0" w:firstColumn="1" w:lastColumn="0" w:noHBand="0" w:noVBand="1"/>
        <w:tblCaption w:val="FInance - Equity Table"/>
      </w:tblPr>
      <w:tblGrid>
        <w:gridCol w:w="4428"/>
        <w:gridCol w:w="1765"/>
      </w:tblGrid>
      <w:tr w:rsidR="0053212E" w:rsidTr="0053212E">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shd w:val="clear" w:color="auto" w:fill="106CB5"/>
            <w:noWrap/>
            <w:vAlign w:val="center"/>
          </w:tcPr>
          <w:p w:rsidR="00ED2B37" w:rsidRDefault="00D83B4B">
            <w:pPr>
              <w:spacing w:before="40" w:after="40" w:line="240" w:lineRule="auto"/>
              <w:rPr>
                <w:rFonts w:eastAsia="MS Mincho" w:cs="Times New Roman"/>
                <w:color w:val="FFFFFF"/>
                <w:szCs w:val="22"/>
              </w:rPr>
            </w:pPr>
            <w:r>
              <w:rPr>
                <w:rFonts w:cs="Times New Roman"/>
                <w:b w:val="0"/>
                <w:color w:val="FFFFFF"/>
                <w:szCs w:val="22"/>
              </w:rPr>
              <w:t xml:space="preserve">Equity </w:t>
            </w:r>
            <w:r>
              <w:rPr>
                <w:rFonts w:cs="Times New Roman"/>
                <w:b w:val="0"/>
                <w:color w:val="FFFFFF"/>
                <w:szCs w:val="22"/>
                <w:vertAlign w:val="superscript"/>
              </w:rPr>
              <w:t>1</w:t>
            </w:r>
          </w:p>
        </w:tc>
        <w:tc>
          <w:tcPr>
            <w:tcW w:w="1772" w:type="pct"/>
            <w:shd w:val="clear" w:color="auto" w:fill="106CB5"/>
            <w:noWrap/>
            <w:vAlign w:val="center"/>
          </w:tcPr>
          <w:p w:rsidR="00ED2B37" w:rsidRDefault="00D83B4B">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eastAsia="MS Mincho" w:cs="Times New Roman"/>
                <w:color w:val="FFFFFF"/>
                <w:szCs w:val="22"/>
              </w:rPr>
            </w:pPr>
            <w:r>
              <w:rPr>
                <w:rFonts w:cs="Times New Roman"/>
                <w:b w:val="0"/>
                <w:color w:val="FFFFFF"/>
                <w:szCs w:val="22"/>
              </w:rPr>
              <w:t>Actual</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12" w:space="0" w:color="FFFFFF"/>
              <w:bottom w:val="nil"/>
            </w:tcBorders>
            <w:shd w:val="clear" w:color="auto" w:fill="D9D9D9"/>
            <w:noWrap/>
            <w:vAlign w:val="center"/>
          </w:tcPr>
          <w:p w:rsidR="00ED2B37" w:rsidRDefault="00D83B4B">
            <w:pPr>
              <w:spacing w:before="40" w:after="40" w:line="240" w:lineRule="auto"/>
              <w:rPr>
                <w:rFonts w:eastAsia="MS Mincho" w:cs="Times New Roman"/>
                <w:szCs w:val="22"/>
              </w:rPr>
            </w:pPr>
            <w:r>
              <w:rPr>
                <w:rFonts w:cs="Times New Roman"/>
                <w:b w:val="0"/>
                <w:szCs w:val="22"/>
              </w:rPr>
              <w:t>Equity (Social Disadvantage)</w:t>
            </w:r>
          </w:p>
        </w:tc>
        <w:tc>
          <w:tcPr>
            <w:tcW w:w="1772" w:type="pct"/>
            <w:tcBorders>
              <w:top w:val="single" w:sz="12" w:space="0" w:color="FFFFFF"/>
              <w:bottom w:val="nil"/>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$10,986</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auto"/>
            <w:noWrap/>
            <w:vAlign w:val="center"/>
          </w:tcPr>
          <w:p w:rsidR="00ED2B37" w:rsidRDefault="00D83B4B">
            <w:pPr>
              <w:spacing w:before="40" w:after="40" w:line="240" w:lineRule="auto"/>
              <w:rPr>
                <w:rFonts w:eastAsia="MS Mincho" w:cs="Times New Roman"/>
                <w:szCs w:val="22"/>
              </w:rPr>
            </w:pPr>
            <w:r>
              <w:rPr>
                <w:rFonts w:cs="Times New Roman"/>
                <w:b w:val="0"/>
                <w:szCs w:val="22"/>
              </w:rPr>
              <w:t>Equity (Catch Up)</w:t>
            </w:r>
          </w:p>
        </w:tc>
        <w:tc>
          <w:tcPr>
            <w:tcW w:w="1772" w:type="pct"/>
            <w:tcBorders>
              <w:top w:val="nil"/>
              <w:left w:val="nil"/>
              <w:bottom w:val="nil"/>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$0</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tcBorders>
            <w:shd w:val="clear" w:color="auto" w:fill="D9D9D9"/>
            <w:noWrap/>
            <w:vAlign w:val="center"/>
          </w:tcPr>
          <w:p w:rsidR="00ED2B37" w:rsidRDefault="00D83B4B">
            <w:pPr>
              <w:spacing w:before="40" w:after="40" w:line="240" w:lineRule="auto"/>
              <w:rPr>
                <w:rFonts w:eastAsia="MS Mincho" w:cs="Times New Roman"/>
                <w:szCs w:val="22"/>
              </w:rPr>
            </w:pPr>
            <w:r>
              <w:rPr>
                <w:rFonts w:cs="Times New Roman"/>
                <w:b w:val="0"/>
                <w:szCs w:val="22"/>
              </w:rPr>
              <w:t xml:space="preserve">Transition </w:t>
            </w:r>
            <w:r>
              <w:rPr>
                <w:rFonts w:cs="Times New Roman"/>
                <w:b w:val="0"/>
                <w:szCs w:val="22"/>
              </w:rPr>
              <w:t>Funding</w:t>
            </w:r>
          </w:p>
        </w:tc>
        <w:tc>
          <w:tcPr>
            <w:tcW w:w="1772" w:type="pct"/>
            <w:tcBorders>
              <w:top w:val="nil"/>
              <w:bottom w:val="nil"/>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$0</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2" w:space="0" w:color="106CB5"/>
            </w:tcBorders>
            <w:shd w:val="clear" w:color="auto" w:fill="auto"/>
            <w:noWrap/>
            <w:vAlign w:val="center"/>
          </w:tcPr>
          <w:p w:rsidR="00ED2B37" w:rsidRDefault="00D83B4B">
            <w:pPr>
              <w:spacing w:before="40" w:after="40"/>
              <w:rPr>
                <w:rFonts w:cs="Times New Roman"/>
                <w:szCs w:val="22"/>
              </w:rPr>
            </w:pPr>
            <w:r>
              <w:rPr>
                <w:rFonts w:cs="Times New Roman"/>
                <w:b w:val="0"/>
                <w:szCs w:val="22"/>
              </w:rPr>
              <w:t>Equity (Social Disadvantage – Extraordinary Growth)</w:t>
            </w:r>
          </w:p>
          <w:p w:rsidR="00ED2B37" w:rsidRDefault="00D83B4B">
            <w:pPr>
              <w:spacing w:before="40" w:after="40" w:line="240" w:lineRule="auto"/>
              <w:rPr>
                <w:rFonts w:eastAsia="MS Mincho" w:cs="Times New Roman"/>
                <w:color w:val="FFFFFF"/>
                <w:szCs w:val="22"/>
              </w:rPr>
            </w:pPr>
          </w:p>
        </w:tc>
        <w:tc>
          <w:tcPr>
            <w:tcW w:w="1772" w:type="pct"/>
            <w:tcBorders>
              <w:top w:val="nil"/>
              <w:bottom w:val="single" w:sz="2" w:space="0" w:color="106CB5"/>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$0</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2" w:space="0" w:color="106CB5"/>
              <w:bottom w:val="single" w:sz="2" w:space="0" w:color="106CB5"/>
            </w:tcBorders>
            <w:shd w:val="clear" w:color="auto" w:fill="auto"/>
            <w:noWrap/>
            <w:vAlign w:val="center"/>
          </w:tcPr>
          <w:p w:rsidR="00ED2B37" w:rsidRDefault="00D83B4B">
            <w:pPr>
              <w:spacing w:before="40" w:after="40"/>
              <w:rPr>
                <w:rFonts w:cs="Times New Roman"/>
                <w:szCs w:val="22"/>
              </w:rPr>
            </w:pPr>
            <w:r>
              <w:rPr>
                <w:rFonts w:cs="Times New Roman"/>
                <w:szCs w:val="22"/>
              </w:rPr>
              <w:t>Equity Total</w:t>
            </w:r>
          </w:p>
        </w:tc>
        <w:tc>
          <w:tcPr>
            <w:tcW w:w="1772" w:type="pct"/>
            <w:tcBorders>
              <w:top w:val="single" w:sz="2" w:space="0" w:color="106CB5"/>
              <w:bottom w:val="single" w:sz="2" w:space="0" w:color="106CB5"/>
            </w:tcBorders>
            <w:shd w:val="clear" w:color="auto" w:fill="auto"/>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$10,986</w:t>
            </w:r>
          </w:p>
        </w:tc>
      </w:tr>
    </w:tbl>
    <w:p w:rsidR="00ED2B37" w:rsidRDefault="00D83B4B">
      <w:pPr>
        <w:spacing w:after="0" w:line="240" w:lineRule="auto"/>
        <w:rPr>
          <w:rFonts w:eastAsia="MS Mincho"/>
        </w:rPr>
      </w:pPr>
    </w:p>
    <w:tbl>
      <w:tblPr>
        <w:tblStyle w:val="GridTable2-Accent612"/>
        <w:tblW w:w="2876" w:type="pct"/>
        <w:jc w:val="center"/>
        <w:tblLook w:val="04A0" w:firstRow="1" w:lastRow="0" w:firstColumn="1" w:lastColumn="0" w:noHBand="0" w:noVBand="1"/>
        <w:tblCaption w:val="Finance - Expenditure table"/>
      </w:tblPr>
      <w:tblGrid>
        <w:gridCol w:w="3997"/>
        <w:gridCol w:w="2196"/>
      </w:tblGrid>
      <w:tr w:rsidR="0053212E" w:rsidTr="0053212E">
        <w:trPr>
          <w:cnfStyle w:val="100000000000" w:firstRow="1" w:lastRow="0" w:firstColumn="0" w:lastColumn="0" w:oddVBand="0" w:evenVBand="0" w:oddHBand="0" w:evenHBand="0" w:firstRowFirstColumn="0" w:firstRowLastColumn="0" w:lastRowFirstColumn="0" w:lastRowLastColumn="0"/>
          <w:trHeight w:hRule="exact" w:val="454"/>
          <w:tblHeader/>
          <w:jc w:val="center"/>
        </w:trPr>
        <w:tc>
          <w:tcPr>
            <w:cnfStyle w:val="001000000000" w:firstRow="0" w:lastRow="0" w:firstColumn="1" w:lastColumn="0" w:oddVBand="0" w:evenVBand="0" w:oddHBand="0" w:evenHBand="0" w:firstRowFirstColumn="0" w:firstRowLastColumn="0" w:lastRowFirstColumn="0" w:lastRowLastColumn="0"/>
            <w:tcW w:w="3227" w:type="pct"/>
            <w:shd w:val="clear" w:color="auto" w:fill="106CB5"/>
            <w:vAlign w:val="center"/>
            <w:hideMark/>
          </w:tcPr>
          <w:p w:rsidR="00ED2B37" w:rsidRDefault="00D83B4B">
            <w:pPr>
              <w:spacing w:before="40" w:after="40" w:line="240" w:lineRule="auto"/>
              <w:rPr>
                <w:rFonts w:eastAsia="MS Mincho" w:cs="Times New Roman"/>
                <w:color w:val="FFFFFF"/>
                <w:szCs w:val="22"/>
                <w:lang w:val="en-US"/>
              </w:rPr>
            </w:pPr>
            <w:r>
              <w:rPr>
                <w:rFonts w:eastAsia="MS Mincho" w:cs="Times New Roman"/>
                <w:b w:val="0"/>
                <w:bCs w:val="0"/>
                <w:color w:val="FFFFFF"/>
                <w:szCs w:val="22"/>
                <w:lang w:val="en-US"/>
              </w:rPr>
              <w:t>Expenditure</w:t>
            </w:r>
          </w:p>
        </w:tc>
        <w:tc>
          <w:tcPr>
            <w:tcW w:w="1773" w:type="pct"/>
            <w:shd w:val="clear" w:color="auto" w:fill="106CB5"/>
            <w:vAlign w:val="center"/>
            <w:hideMark/>
          </w:tcPr>
          <w:p w:rsidR="00ED2B37" w:rsidRDefault="00D83B4B">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eastAsia="MS Mincho" w:cs="Times New Roman"/>
                <w:color w:val="FFFFFF"/>
                <w:szCs w:val="22"/>
                <w:lang w:val="en-US"/>
              </w:rPr>
            </w:pPr>
            <w:r>
              <w:rPr>
                <w:rFonts w:eastAsia="MS Mincho" w:cs="Times New Roman"/>
                <w:b w:val="0"/>
                <w:bCs w:val="0"/>
                <w:color w:val="FFFFFF"/>
                <w:szCs w:val="22"/>
                <w:lang w:val="en-US"/>
              </w:rPr>
              <w:t>Actual</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7" w:type="pct"/>
            <w:tcBorders>
              <w:top w:val="single" w:sz="12" w:space="0" w:color="FFFFFF"/>
              <w:bottom w:val="nil"/>
              <w:right w:val="single" w:sz="4" w:space="0" w:color="FFFFFF"/>
            </w:tcBorders>
            <w:shd w:val="clear" w:color="auto" w:fill="D9D9D9"/>
            <w:noWrap/>
            <w:vAlign w:val="center"/>
            <w:hideMark/>
          </w:tcPr>
          <w:p w:rsidR="00ED2B37" w:rsidRDefault="00D83B4B">
            <w:pPr>
              <w:spacing w:before="40" w:after="40" w:line="240" w:lineRule="auto"/>
              <w:rPr>
                <w:rFonts w:eastAsia="MS Mincho" w:cs="Times New Roman"/>
                <w:szCs w:val="22"/>
                <w:lang w:val="en-US"/>
              </w:rPr>
            </w:pPr>
            <w:r>
              <w:rPr>
                <w:rFonts w:eastAsia="MS Mincho" w:cs="Times New Roman"/>
                <w:b w:val="0"/>
                <w:bCs w:val="0"/>
                <w:szCs w:val="22"/>
                <w:lang w:val="en-US"/>
              </w:rPr>
              <w:t xml:space="preserve">Student Resource Package </w:t>
            </w:r>
            <w:r>
              <w:rPr>
                <w:rFonts w:eastAsia="MS Mincho" w:cs="Times New Roman"/>
                <w:b w:val="0"/>
                <w:bCs w:val="0"/>
                <w:szCs w:val="22"/>
                <w:vertAlign w:val="superscript"/>
                <w:lang w:val="en-US"/>
              </w:rPr>
              <w:t>2</w:t>
            </w:r>
          </w:p>
        </w:tc>
        <w:tc>
          <w:tcPr>
            <w:tcW w:w="1773" w:type="pct"/>
            <w:tcBorders>
              <w:top w:val="single" w:sz="12" w:space="0" w:color="FFFFFF"/>
              <w:left w:val="single" w:sz="4" w:space="0" w:color="FFFFFF"/>
              <w:bottom w:val="nil"/>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$5,006,754</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7" w:type="pct"/>
            <w:tcBorders>
              <w:top w:val="nil"/>
              <w:bottom w:val="nil"/>
              <w:right w:val="single" w:sz="4" w:space="0" w:color="FFFFFF"/>
            </w:tcBorders>
            <w:noWrap/>
            <w:vAlign w:val="center"/>
            <w:hideMark/>
          </w:tcPr>
          <w:p w:rsidR="00ED2B37" w:rsidRDefault="00D83B4B">
            <w:pPr>
              <w:spacing w:before="40" w:after="40" w:line="240" w:lineRule="auto"/>
              <w:rPr>
                <w:rFonts w:eastAsia="MS Mincho" w:cs="Times New Roman"/>
                <w:szCs w:val="22"/>
                <w:lang w:val="en-US"/>
              </w:rPr>
            </w:pPr>
            <w:r>
              <w:rPr>
                <w:rFonts w:eastAsia="MS Mincho" w:cs="Times New Roman"/>
                <w:b w:val="0"/>
                <w:bCs w:val="0"/>
                <w:szCs w:val="22"/>
                <w:lang w:val="en-US"/>
              </w:rPr>
              <w:t>Adjustments</w:t>
            </w:r>
          </w:p>
        </w:tc>
        <w:tc>
          <w:tcPr>
            <w:tcW w:w="1773" w:type="pct"/>
            <w:tcBorders>
              <w:top w:val="nil"/>
              <w:left w:val="single" w:sz="4" w:space="0" w:color="FFFFFF"/>
              <w:bottom w:val="nil"/>
            </w:tcBorders>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$0</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7" w:type="pct"/>
            <w:tcBorders>
              <w:top w:val="nil"/>
              <w:bottom w:val="nil"/>
              <w:right w:val="single" w:sz="4" w:space="0" w:color="FFFFFF"/>
            </w:tcBorders>
            <w:shd w:val="clear" w:color="auto" w:fill="D9D9D9"/>
            <w:noWrap/>
            <w:vAlign w:val="center"/>
          </w:tcPr>
          <w:p w:rsidR="00ED2B37" w:rsidRDefault="00D83B4B">
            <w:pPr>
              <w:spacing w:before="40" w:after="40" w:line="240" w:lineRule="auto"/>
              <w:rPr>
                <w:rFonts w:eastAsia="MS Mincho" w:cs="Times New Roman"/>
                <w:szCs w:val="22"/>
                <w:lang w:val="en-US"/>
              </w:rPr>
            </w:pPr>
            <w:r>
              <w:rPr>
                <w:rFonts w:eastAsia="MS Mincho" w:cs="Times New Roman"/>
                <w:b w:val="0"/>
                <w:bCs w:val="0"/>
                <w:szCs w:val="22"/>
                <w:lang w:val="en-US"/>
              </w:rPr>
              <w:t>Books &amp; Publications</w:t>
            </w:r>
          </w:p>
        </w:tc>
        <w:tc>
          <w:tcPr>
            <w:tcW w:w="1773" w:type="pct"/>
            <w:tcBorders>
              <w:top w:val="nil"/>
              <w:left w:val="single" w:sz="4" w:space="0" w:color="FFFFFF"/>
              <w:bottom w:val="nil"/>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$3,492</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7" w:type="pct"/>
            <w:tcBorders>
              <w:top w:val="nil"/>
              <w:bottom w:val="nil"/>
              <w:right w:val="nil"/>
            </w:tcBorders>
            <w:shd w:val="clear" w:color="auto" w:fill="auto"/>
            <w:noWrap/>
            <w:vAlign w:val="center"/>
          </w:tcPr>
          <w:p w:rsidR="00ED2B37" w:rsidRDefault="00D83B4B">
            <w:pPr>
              <w:spacing w:before="40" w:after="40" w:line="240" w:lineRule="auto"/>
              <w:rPr>
                <w:rFonts w:eastAsia="MS Mincho" w:cs="Times New Roman"/>
                <w:szCs w:val="22"/>
                <w:lang w:val="en-US"/>
              </w:rPr>
            </w:pPr>
            <w:r>
              <w:rPr>
                <w:rFonts w:eastAsia="MS Mincho" w:cs="Times New Roman"/>
                <w:b w:val="0"/>
                <w:bCs w:val="0"/>
                <w:szCs w:val="22"/>
                <w:lang w:val="en-US"/>
              </w:rPr>
              <w:t>Communication Costs</w:t>
            </w:r>
          </w:p>
        </w:tc>
        <w:tc>
          <w:tcPr>
            <w:tcW w:w="1773" w:type="pct"/>
            <w:tcBorders>
              <w:top w:val="nil"/>
              <w:left w:val="nil"/>
              <w:bottom w:val="nil"/>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$4,311</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7" w:type="pct"/>
            <w:tcBorders>
              <w:top w:val="nil"/>
              <w:bottom w:val="nil"/>
              <w:right w:val="single" w:sz="4" w:space="0" w:color="FFFFFF"/>
            </w:tcBorders>
            <w:shd w:val="clear" w:color="auto" w:fill="D9D9D9"/>
            <w:noWrap/>
            <w:vAlign w:val="center"/>
          </w:tcPr>
          <w:p w:rsidR="00ED2B37" w:rsidRDefault="00D83B4B">
            <w:pPr>
              <w:spacing w:before="40" w:after="40" w:line="240" w:lineRule="auto"/>
              <w:rPr>
                <w:rFonts w:eastAsia="MS Mincho" w:cs="Times New Roman"/>
                <w:szCs w:val="22"/>
                <w:lang w:val="en-US"/>
              </w:rPr>
            </w:pPr>
            <w:r>
              <w:rPr>
                <w:rFonts w:eastAsia="MS Mincho" w:cs="Times New Roman"/>
                <w:b w:val="0"/>
                <w:bCs w:val="0"/>
                <w:szCs w:val="22"/>
                <w:lang w:val="en-US"/>
              </w:rPr>
              <w:t>Consumables</w:t>
            </w:r>
          </w:p>
        </w:tc>
        <w:tc>
          <w:tcPr>
            <w:tcW w:w="1773" w:type="pct"/>
            <w:tcBorders>
              <w:top w:val="nil"/>
              <w:left w:val="single" w:sz="4" w:space="0" w:color="FFFFFF"/>
              <w:bottom w:val="nil"/>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$179,701</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7" w:type="pct"/>
            <w:tcBorders>
              <w:top w:val="nil"/>
              <w:bottom w:val="nil"/>
              <w:right w:val="nil"/>
            </w:tcBorders>
            <w:shd w:val="clear" w:color="auto" w:fill="auto"/>
            <w:noWrap/>
            <w:vAlign w:val="center"/>
          </w:tcPr>
          <w:p w:rsidR="00ED2B37" w:rsidRDefault="00D83B4B">
            <w:pPr>
              <w:spacing w:before="40" w:after="40" w:line="240" w:lineRule="auto"/>
              <w:rPr>
                <w:rFonts w:eastAsia="MS Mincho" w:cs="Times New Roman"/>
                <w:szCs w:val="22"/>
                <w:lang w:val="en-US"/>
              </w:rPr>
            </w:pPr>
            <w:r>
              <w:rPr>
                <w:rFonts w:eastAsia="MS Mincho" w:cs="Times New Roman"/>
                <w:b w:val="0"/>
                <w:bCs w:val="0"/>
                <w:szCs w:val="22"/>
                <w:lang w:val="en-US"/>
              </w:rPr>
              <w:t xml:space="preserve">Miscellaneous Expense </w:t>
            </w:r>
            <w:r>
              <w:rPr>
                <w:rFonts w:eastAsia="MS Mincho" w:cs="Times New Roman"/>
                <w:b w:val="0"/>
                <w:bCs w:val="0"/>
                <w:szCs w:val="22"/>
                <w:vertAlign w:val="superscript"/>
                <w:lang w:val="en-US"/>
              </w:rPr>
              <w:t>3</w:t>
            </w:r>
          </w:p>
        </w:tc>
        <w:tc>
          <w:tcPr>
            <w:tcW w:w="1773" w:type="pct"/>
            <w:tcBorders>
              <w:top w:val="nil"/>
              <w:left w:val="nil"/>
              <w:bottom w:val="nil"/>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$634,605</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7" w:type="pct"/>
            <w:tcBorders>
              <w:top w:val="nil"/>
              <w:bottom w:val="nil"/>
            </w:tcBorders>
            <w:shd w:val="clear" w:color="auto" w:fill="D9D9D9"/>
            <w:noWrap/>
            <w:vAlign w:val="center"/>
          </w:tcPr>
          <w:p w:rsidR="00ED2B37" w:rsidRDefault="00D83B4B">
            <w:pPr>
              <w:spacing w:before="40" w:after="40" w:line="240" w:lineRule="auto"/>
              <w:rPr>
                <w:rFonts w:eastAsia="MS Mincho" w:cs="Times New Roman"/>
                <w:szCs w:val="22"/>
                <w:lang w:val="en-US"/>
              </w:rPr>
            </w:pPr>
            <w:r>
              <w:rPr>
                <w:rFonts w:eastAsia="MS Mincho" w:cs="Times New Roman"/>
                <w:b w:val="0"/>
                <w:bCs w:val="0"/>
                <w:szCs w:val="22"/>
                <w:lang w:val="en-US"/>
              </w:rPr>
              <w:t>Professional Development</w:t>
            </w:r>
          </w:p>
        </w:tc>
        <w:tc>
          <w:tcPr>
            <w:tcW w:w="1773" w:type="pct"/>
            <w:tcBorders>
              <w:top w:val="nil"/>
              <w:bottom w:val="nil"/>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$28,896</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7" w:type="pct"/>
            <w:tcBorders>
              <w:top w:val="nil"/>
              <w:bottom w:val="nil"/>
              <w:right w:val="nil"/>
            </w:tcBorders>
            <w:shd w:val="clear" w:color="auto" w:fill="auto"/>
            <w:noWrap/>
            <w:vAlign w:val="center"/>
          </w:tcPr>
          <w:p w:rsidR="00ED2B37" w:rsidRDefault="00D83B4B">
            <w:pPr>
              <w:spacing w:before="40" w:after="40" w:line="240" w:lineRule="auto"/>
              <w:rPr>
                <w:rFonts w:eastAsia="MS Mincho" w:cs="Times New Roman"/>
                <w:szCs w:val="22"/>
                <w:lang w:val="en-US"/>
              </w:rPr>
            </w:pPr>
            <w:r>
              <w:rPr>
                <w:rFonts w:eastAsia="MS Mincho" w:cs="Times New Roman"/>
                <w:b w:val="0"/>
                <w:bCs w:val="0"/>
                <w:szCs w:val="22"/>
                <w:lang w:val="en-US"/>
              </w:rPr>
              <w:t>Property and Equipment Services</w:t>
            </w:r>
          </w:p>
        </w:tc>
        <w:tc>
          <w:tcPr>
            <w:tcW w:w="1773" w:type="pct"/>
            <w:tcBorders>
              <w:top w:val="nil"/>
              <w:left w:val="nil"/>
              <w:bottom w:val="nil"/>
            </w:tcBorders>
            <w:shd w:val="clear" w:color="auto" w:fill="auto"/>
            <w:noWrap/>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$290,843</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7" w:type="pct"/>
            <w:tcBorders>
              <w:top w:val="nil"/>
              <w:bottom w:val="nil"/>
              <w:right w:val="single" w:sz="4" w:space="0" w:color="FFFFFF"/>
            </w:tcBorders>
            <w:shd w:val="clear" w:color="auto" w:fill="DBD9D6"/>
            <w:noWrap/>
            <w:vAlign w:val="center"/>
          </w:tcPr>
          <w:p w:rsidR="00ED2B37" w:rsidRDefault="00D83B4B">
            <w:pPr>
              <w:spacing w:before="40" w:after="40" w:line="240" w:lineRule="auto"/>
              <w:rPr>
                <w:rFonts w:eastAsia="MS Mincho" w:cs="Times New Roman"/>
                <w:szCs w:val="22"/>
                <w:lang w:val="en-US"/>
              </w:rPr>
            </w:pPr>
            <w:r>
              <w:rPr>
                <w:rFonts w:eastAsia="MS Mincho" w:cs="Times New Roman"/>
                <w:b w:val="0"/>
                <w:bCs w:val="0"/>
                <w:szCs w:val="22"/>
                <w:lang w:val="en-US"/>
              </w:rPr>
              <w:t xml:space="preserve">Salaries &amp; Allowances </w:t>
            </w:r>
            <w:r>
              <w:rPr>
                <w:rFonts w:eastAsia="MS Mincho" w:cs="Times New Roman"/>
                <w:b w:val="0"/>
                <w:bCs w:val="0"/>
                <w:szCs w:val="22"/>
                <w:vertAlign w:val="superscript"/>
                <w:lang w:val="en-US"/>
              </w:rPr>
              <w:t>4</w:t>
            </w:r>
          </w:p>
        </w:tc>
        <w:tc>
          <w:tcPr>
            <w:tcW w:w="1773" w:type="pct"/>
            <w:tcBorders>
              <w:top w:val="nil"/>
              <w:left w:val="single" w:sz="4" w:space="0" w:color="FFFFFF"/>
              <w:bottom w:val="nil"/>
            </w:tcBorders>
            <w:shd w:val="clear" w:color="auto" w:fill="DBD9D6"/>
            <w:noWrap/>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$490,195</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7" w:type="pct"/>
            <w:tcBorders>
              <w:top w:val="nil"/>
              <w:bottom w:val="nil"/>
              <w:right w:val="single" w:sz="4" w:space="0" w:color="FFFFFF"/>
            </w:tcBorders>
            <w:shd w:val="clear" w:color="auto" w:fill="auto"/>
            <w:noWrap/>
            <w:vAlign w:val="center"/>
          </w:tcPr>
          <w:p w:rsidR="00ED2B37" w:rsidRDefault="00D83B4B">
            <w:pPr>
              <w:spacing w:before="40" w:after="40" w:line="240" w:lineRule="auto"/>
              <w:rPr>
                <w:rFonts w:eastAsia="MS Mincho" w:cs="Times New Roman"/>
                <w:szCs w:val="22"/>
                <w:lang w:val="en-US"/>
              </w:rPr>
            </w:pPr>
            <w:r>
              <w:rPr>
                <w:rFonts w:eastAsia="MS Mincho" w:cs="Times New Roman"/>
                <w:b w:val="0"/>
                <w:bCs w:val="0"/>
                <w:szCs w:val="22"/>
                <w:lang w:val="en-US"/>
              </w:rPr>
              <w:t>Trading &amp; Fundraising</w:t>
            </w:r>
          </w:p>
        </w:tc>
        <w:tc>
          <w:tcPr>
            <w:tcW w:w="1773" w:type="pct"/>
            <w:tcBorders>
              <w:top w:val="nil"/>
              <w:left w:val="single" w:sz="4" w:space="0" w:color="FFFFFF"/>
              <w:bottom w:val="nil"/>
            </w:tcBorders>
            <w:shd w:val="clear" w:color="auto" w:fill="auto"/>
            <w:noWrap/>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$144,839</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7" w:type="pct"/>
            <w:tcBorders>
              <w:top w:val="nil"/>
              <w:bottom w:val="nil"/>
              <w:right w:val="single" w:sz="4" w:space="0" w:color="FFFFFF"/>
            </w:tcBorders>
            <w:shd w:val="clear" w:color="auto" w:fill="DBD9D6"/>
            <w:noWrap/>
            <w:vAlign w:val="center"/>
          </w:tcPr>
          <w:p w:rsidR="00ED2B37" w:rsidRDefault="00D83B4B">
            <w:pPr>
              <w:spacing w:before="40" w:after="40" w:line="240" w:lineRule="auto"/>
              <w:rPr>
                <w:rFonts w:eastAsia="MS Mincho" w:cs="Times New Roman"/>
                <w:szCs w:val="22"/>
                <w:lang w:val="en-US"/>
              </w:rPr>
            </w:pPr>
            <w:r>
              <w:rPr>
                <w:rFonts w:eastAsia="MS Mincho" w:cs="Times New Roman"/>
                <w:b w:val="0"/>
                <w:bCs w:val="0"/>
                <w:szCs w:val="22"/>
                <w:lang w:val="en-US"/>
              </w:rPr>
              <w:t>Travel &amp; Subsistence</w:t>
            </w:r>
          </w:p>
        </w:tc>
        <w:tc>
          <w:tcPr>
            <w:tcW w:w="1773" w:type="pct"/>
            <w:tcBorders>
              <w:top w:val="nil"/>
              <w:left w:val="single" w:sz="4" w:space="0" w:color="FFFFFF"/>
              <w:bottom w:val="nil"/>
            </w:tcBorders>
            <w:shd w:val="clear" w:color="auto" w:fill="DBD9D6"/>
            <w:noWrap/>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$0</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7" w:type="pct"/>
            <w:tcBorders>
              <w:top w:val="nil"/>
              <w:bottom w:val="single" w:sz="2" w:space="0" w:color="106CB5"/>
              <w:right w:val="nil"/>
            </w:tcBorders>
            <w:shd w:val="clear" w:color="auto" w:fill="auto"/>
            <w:noWrap/>
            <w:vAlign w:val="center"/>
          </w:tcPr>
          <w:p w:rsidR="00ED2B37" w:rsidRDefault="00D83B4B">
            <w:pPr>
              <w:spacing w:before="40" w:after="40" w:line="240" w:lineRule="auto"/>
              <w:rPr>
                <w:rFonts w:eastAsia="MS Mincho" w:cs="Times New Roman"/>
                <w:szCs w:val="22"/>
                <w:lang w:val="en-US"/>
              </w:rPr>
            </w:pPr>
            <w:r>
              <w:rPr>
                <w:rFonts w:eastAsia="MS Mincho" w:cs="Times New Roman"/>
                <w:b w:val="0"/>
                <w:bCs w:val="0"/>
                <w:szCs w:val="22"/>
                <w:lang w:val="en-US"/>
              </w:rPr>
              <w:t>Utilities</w:t>
            </w:r>
          </w:p>
        </w:tc>
        <w:tc>
          <w:tcPr>
            <w:tcW w:w="1773" w:type="pct"/>
            <w:tcBorders>
              <w:top w:val="nil"/>
              <w:left w:val="nil"/>
              <w:bottom w:val="single" w:sz="2" w:space="0" w:color="106CB5"/>
            </w:tcBorders>
            <w:shd w:val="clear" w:color="auto" w:fill="auto"/>
            <w:noWrap/>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$47,909</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7" w:type="pct"/>
            <w:tcBorders>
              <w:top w:val="single" w:sz="2" w:space="0" w:color="106CB5"/>
              <w:bottom w:val="single" w:sz="2" w:space="0" w:color="106CB5"/>
            </w:tcBorders>
            <w:shd w:val="clear" w:color="auto" w:fill="auto"/>
            <w:noWrap/>
            <w:vAlign w:val="center"/>
          </w:tcPr>
          <w:p w:rsidR="00ED2B37" w:rsidRDefault="00D83B4B">
            <w:pPr>
              <w:spacing w:after="0" w:line="240" w:lineRule="auto"/>
              <w:rPr>
                <w:rFonts w:eastAsia="MS Mincho" w:cs="Times New Roman"/>
                <w:szCs w:val="22"/>
                <w:lang w:val="en-US"/>
              </w:rPr>
            </w:pPr>
            <w:r>
              <w:rPr>
                <w:rFonts w:eastAsia="MS Mincho" w:cs="Times New Roman"/>
                <w:bCs w:val="0"/>
                <w:szCs w:val="22"/>
                <w:lang w:val="en-US"/>
              </w:rPr>
              <w:t>Total Operating Expenditure</w:t>
            </w:r>
          </w:p>
          <w:p w:rsidR="00ED2B37" w:rsidRDefault="00D83B4B">
            <w:pPr>
              <w:spacing w:before="40" w:after="40" w:line="240" w:lineRule="auto"/>
              <w:rPr>
                <w:rFonts w:eastAsia="MS Mincho" w:cs="Times New Roman"/>
                <w:szCs w:val="22"/>
                <w:lang w:val="en-US"/>
              </w:rPr>
            </w:pPr>
          </w:p>
        </w:tc>
        <w:tc>
          <w:tcPr>
            <w:tcW w:w="1773" w:type="pct"/>
            <w:tcBorders>
              <w:top w:val="single" w:sz="2" w:space="0" w:color="106CB5"/>
              <w:bottom w:val="single" w:sz="2" w:space="0" w:color="106CB5"/>
            </w:tcBorders>
            <w:shd w:val="clear" w:color="auto" w:fill="auto"/>
            <w:noWrap/>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$6,831,546</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7" w:type="pct"/>
            <w:tcBorders>
              <w:top w:val="single" w:sz="2" w:space="0" w:color="106CB5"/>
              <w:bottom w:val="single" w:sz="2" w:space="0" w:color="106CB5"/>
            </w:tcBorders>
            <w:shd w:val="clear" w:color="auto" w:fill="auto"/>
            <w:noWrap/>
            <w:vAlign w:val="center"/>
          </w:tcPr>
          <w:p w:rsidR="00ED2B37" w:rsidRDefault="00D83B4B">
            <w:pPr>
              <w:spacing w:after="0" w:line="240" w:lineRule="auto"/>
              <w:rPr>
                <w:rFonts w:eastAsia="MS Mincho" w:cs="Times New Roman"/>
                <w:szCs w:val="22"/>
              </w:rPr>
            </w:pPr>
            <w:r>
              <w:rPr>
                <w:rFonts w:eastAsia="MS Mincho" w:cs="Times New Roman"/>
                <w:szCs w:val="22"/>
              </w:rPr>
              <w:t>Net Operating Surplus/-Deficit</w:t>
            </w:r>
          </w:p>
        </w:tc>
        <w:tc>
          <w:tcPr>
            <w:tcW w:w="1773" w:type="pct"/>
            <w:tcBorders>
              <w:top w:val="single" w:sz="2" w:space="0" w:color="106CB5"/>
              <w:bottom w:val="single" w:sz="2" w:space="0" w:color="106CB5"/>
            </w:tcBorders>
            <w:shd w:val="clear" w:color="auto" w:fill="auto"/>
            <w:noWrap/>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$110,626</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7" w:type="pct"/>
            <w:tcBorders>
              <w:top w:val="single" w:sz="2" w:space="0" w:color="106CB5"/>
              <w:bottom w:val="single" w:sz="2" w:space="0" w:color="106CB5"/>
            </w:tcBorders>
            <w:shd w:val="clear" w:color="auto" w:fill="auto"/>
            <w:noWrap/>
            <w:vAlign w:val="center"/>
          </w:tcPr>
          <w:p w:rsidR="00ED2B37" w:rsidRDefault="00D83B4B">
            <w:pPr>
              <w:spacing w:after="0" w:line="240" w:lineRule="auto"/>
              <w:rPr>
                <w:rFonts w:eastAsia="MS Mincho" w:cs="Times New Roman"/>
                <w:szCs w:val="22"/>
              </w:rPr>
            </w:pPr>
            <w:r>
              <w:rPr>
                <w:rFonts w:eastAsia="MS Mincho" w:cs="Times New Roman"/>
                <w:szCs w:val="22"/>
              </w:rPr>
              <w:t>Asset Acquisitions</w:t>
            </w:r>
          </w:p>
        </w:tc>
        <w:tc>
          <w:tcPr>
            <w:tcW w:w="1773" w:type="pct"/>
            <w:tcBorders>
              <w:top w:val="single" w:sz="2" w:space="0" w:color="106CB5"/>
              <w:bottom w:val="single" w:sz="2" w:space="0" w:color="106CB5"/>
            </w:tcBorders>
            <w:shd w:val="clear" w:color="auto" w:fill="auto"/>
            <w:noWrap/>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$0</w:t>
            </w:r>
          </w:p>
        </w:tc>
      </w:tr>
    </w:tbl>
    <w:p w:rsidR="00ED2B37" w:rsidRDefault="00D83B4B">
      <w:pPr>
        <w:spacing w:after="0" w:line="240" w:lineRule="auto"/>
        <w:rPr>
          <w:rFonts w:eastAsia="MS Mincho"/>
        </w:rPr>
      </w:pPr>
    </w:p>
    <w:p w:rsidR="00ED2B37" w:rsidRDefault="00D83B4B">
      <w:pPr>
        <w:keepNext/>
        <w:keepLines/>
        <w:spacing w:before="240"/>
        <w:outlineLvl w:val="0"/>
        <w:rPr>
          <w:rFonts w:eastAsia="MS Gothic" w:cs="Times New Roman"/>
          <w:b/>
          <w:bCs/>
          <w:caps/>
          <w:color w:val="00008B"/>
          <w:sz w:val="20"/>
          <w:szCs w:val="20"/>
          <w:u w:val="single"/>
        </w:rPr>
      </w:pPr>
      <w:r>
        <w:rPr>
          <w:rFonts w:eastAsia="MS Gothic" w:cs="Times New Roman"/>
          <w:b/>
          <w:bCs/>
          <w:caps/>
          <w:color w:val="00008B"/>
          <w:sz w:val="20"/>
          <w:szCs w:val="20"/>
          <w:u w:val="single"/>
        </w:rPr>
        <w:t>Financial Position as at 31 December, 2019</w:t>
      </w:r>
    </w:p>
    <w:tbl>
      <w:tblPr>
        <w:tblStyle w:val="GridTable2-Accent612"/>
        <w:tblW w:w="2876" w:type="pct"/>
        <w:jc w:val="center"/>
        <w:tblLook w:val="04A0" w:firstRow="1" w:lastRow="0" w:firstColumn="1" w:lastColumn="0" w:noHBand="0" w:noVBand="1"/>
        <w:tblCaption w:val="Fund available"/>
      </w:tblPr>
      <w:tblGrid>
        <w:gridCol w:w="3998"/>
        <w:gridCol w:w="2195"/>
      </w:tblGrid>
      <w:tr w:rsidR="0053212E" w:rsidTr="0053212E">
        <w:trPr>
          <w:cnfStyle w:val="100000000000" w:firstRow="1" w:lastRow="0" w:firstColumn="0" w:lastColumn="0" w:oddVBand="0" w:evenVBand="0" w:oddHBand="0" w:evenHBand="0" w:firstRowFirstColumn="0" w:firstRowLastColumn="0" w:lastRowFirstColumn="0" w:lastRowLastColumn="0"/>
          <w:trHeight w:hRule="exact" w:val="454"/>
          <w:tblHeader/>
          <w:jc w:val="center"/>
        </w:trPr>
        <w:tc>
          <w:tcPr>
            <w:cnfStyle w:val="001000000000" w:firstRow="0" w:lastRow="0" w:firstColumn="1" w:lastColumn="0" w:oddVBand="0" w:evenVBand="0" w:oddHBand="0" w:evenHBand="0" w:firstRowFirstColumn="0" w:firstRowLastColumn="0" w:lastRowFirstColumn="0" w:lastRowLastColumn="0"/>
            <w:tcW w:w="3228" w:type="pct"/>
            <w:shd w:val="clear" w:color="auto" w:fill="106CB5"/>
            <w:vAlign w:val="center"/>
            <w:hideMark/>
          </w:tcPr>
          <w:p w:rsidR="00ED2B37" w:rsidRDefault="00D83B4B">
            <w:pPr>
              <w:spacing w:before="40" w:after="40" w:line="240" w:lineRule="auto"/>
              <w:rPr>
                <w:rFonts w:eastAsia="MS Mincho" w:cs="Times New Roman"/>
                <w:color w:val="FFFFFF"/>
                <w:szCs w:val="22"/>
                <w:lang w:val="en-US"/>
              </w:rPr>
            </w:pPr>
            <w:r>
              <w:rPr>
                <w:rFonts w:eastAsia="MS Mincho" w:cs="Times New Roman"/>
                <w:b w:val="0"/>
                <w:bCs w:val="0"/>
                <w:color w:val="FFFFFF"/>
                <w:szCs w:val="22"/>
                <w:lang w:val="en-US"/>
              </w:rPr>
              <w:t>Funds available</w:t>
            </w:r>
          </w:p>
        </w:tc>
        <w:tc>
          <w:tcPr>
            <w:tcW w:w="1772" w:type="pct"/>
            <w:shd w:val="clear" w:color="auto" w:fill="106CB5"/>
            <w:vAlign w:val="center"/>
            <w:hideMark/>
          </w:tcPr>
          <w:p w:rsidR="00ED2B37" w:rsidRDefault="00D83B4B">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eastAsia="MS Mincho" w:cs="Times New Roman"/>
                <w:color w:val="FFFFFF"/>
                <w:szCs w:val="22"/>
                <w:lang w:val="en-US"/>
              </w:rPr>
            </w:pPr>
            <w:r>
              <w:rPr>
                <w:rFonts w:eastAsia="MS Mincho" w:cs="Times New Roman"/>
                <w:b w:val="0"/>
                <w:bCs w:val="0"/>
                <w:color w:val="FFFFFF"/>
                <w:szCs w:val="22"/>
                <w:lang w:val="en-US"/>
              </w:rPr>
              <w:t>Actual</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12" w:space="0" w:color="FFFFFF"/>
              <w:bottom w:val="nil"/>
              <w:right w:val="single" w:sz="4" w:space="0" w:color="FFFFFF"/>
            </w:tcBorders>
            <w:shd w:val="clear" w:color="auto" w:fill="D9D9D9"/>
            <w:noWrap/>
            <w:vAlign w:val="center"/>
          </w:tcPr>
          <w:p w:rsidR="00ED2B37" w:rsidRDefault="00D83B4B">
            <w:pPr>
              <w:spacing w:before="40" w:after="40" w:line="240" w:lineRule="auto"/>
              <w:rPr>
                <w:rFonts w:eastAsia="MS Mincho" w:cs="Times New Roman"/>
                <w:szCs w:val="22"/>
                <w:lang w:val="en-US"/>
              </w:rPr>
            </w:pPr>
            <w:r>
              <w:rPr>
                <w:rFonts w:eastAsia="MS Mincho" w:cs="Times New Roman"/>
                <w:b w:val="0"/>
                <w:bCs w:val="0"/>
                <w:szCs w:val="22"/>
                <w:lang w:val="en-US"/>
              </w:rPr>
              <w:t>High Yield Investment Account</w:t>
            </w:r>
          </w:p>
        </w:tc>
        <w:tc>
          <w:tcPr>
            <w:tcW w:w="1772" w:type="pct"/>
            <w:tcBorders>
              <w:top w:val="single" w:sz="12" w:space="0" w:color="FFFFFF"/>
              <w:left w:val="single" w:sz="4" w:space="0" w:color="FFFFFF"/>
              <w:bottom w:val="nil"/>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$329,190</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single" w:sz="4" w:space="0" w:color="FFFFFF"/>
            </w:tcBorders>
            <w:noWrap/>
            <w:vAlign w:val="center"/>
          </w:tcPr>
          <w:p w:rsidR="00ED2B37" w:rsidRDefault="00D83B4B">
            <w:pPr>
              <w:spacing w:before="40" w:after="40" w:line="240" w:lineRule="auto"/>
              <w:rPr>
                <w:rFonts w:eastAsia="MS Mincho" w:cs="Times New Roman"/>
                <w:szCs w:val="22"/>
                <w:lang w:val="en-US"/>
              </w:rPr>
            </w:pPr>
            <w:r>
              <w:rPr>
                <w:rFonts w:eastAsia="MS Mincho" w:cs="Times New Roman"/>
                <w:b w:val="0"/>
                <w:bCs w:val="0"/>
                <w:szCs w:val="22"/>
                <w:lang w:val="en-US"/>
              </w:rPr>
              <w:t>Official Account</w:t>
            </w:r>
          </w:p>
        </w:tc>
        <w:tc>
          <w:tcPr>
            <w:tcW w:w="1772" w:type="pct"/>
            <w:tcBorders>
              <w:top w:val="nil"/>
              <w:left w:val="single" w:sz="4" w:space="0" w:color="FFFFFF"/>
              <w:bottom w:val="nil"/>
            </w:tcBorders>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$77,660</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2" w:space="0" w:color="106CB5"/>
              <w:right w:val="single" w:sz="4" w:space="0" w:color="FFFFFF"/>
            </w:tcBorders>
            <w:shd w:val="clear" w:color="auto" w:fill="D9D9D9"/>
            <w:noWrap/>
            <w:vAlign w:val="center"/>
          </w:tcPr>
          <w:p w:rsidR="00ED2B37" w:rsidRDefault="00D83B4B">
            <w:pPr>
              <w:spacing w:before="40" w:after="40" w:line="240" w:lineRule="auto"/>
              <w:rPr>
                <w:rFonts w:eastAsia="MS Mincho" w:cs="Times New Roman"/>
                <w:szCs w:val="22"/>
                <w:lang w:val="en-US"/>
              </w:rPr>
            </w:pPr>
            <w:r>
              <w:rPr>
                <w:rFonts w:eastAsia="MS Mincho" w:cs="Times New Roman"/>
                <w:b w:val="0"/>
                <w:bCs w:val="0"/>
                <w:szCs w:val="22"/>
                <w:lang w:val="en-US"/>
              </w:rPr>
              <w:t>Other Accounts</w:t>
            </w:r>
          </w:p>
        </w:tc>
        <w:tc>
          <w:tcPr>
            <w:tcW w:w="1772" w:type="pct"/>
            <w:tcBorders>
              <w:top w:val="nil"/>
              <w:left w:val="single" w:sz="4" w:space="0" w:color="FFFFFF"/>
              <w:bottom w:val="single" w:sz="2" w:space="0" w:color="106CB5"/>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$0</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2" w:space="0" w:color="106CB5"/>
              <w:bottom w:val="single" w:sz="2" w:space="0" w:color="106CB5"/>
            </w:tcBorders>
            <w:noWrap/>
            <w:vAlign w:val="center"/>
            <w:hideMark/>
          </w:tcPr>
          <w:p w:rsidR="00ED2B37" w:rsidRDefault="00D83B4B">
            <w:pPr>
              <w:spacing w:before="40" w:after="40" w:line="240" w:lineRule="auto"/>
              <w:rPr>
                <w:rFonts w:eastAsia="MS Mincho" w:cs="Times New Roman"/>
                <w:szCs w:val="22"/>
                <w:lang w:val="en-US"/>
              </w:rPr>
            </w:pPr>
            <w:r>
              <w:rPr>
                <w:rFonts w:eastAsia="MS Mincho" w:cs="Times New Roman"/>
                <w:bCs w:val="0"/>
                <w:szCs w:val="22"/>
                <w:lang w:val="en-US"/>
              </w:rPr>
              <w:t>Total Funds Available</w:t>
            </w:r>
          </w:p>
        </w:tc>
        <w:tc>
          <w:tcPr>
            <w:tcW w:w="1772" w:type="pct"/>
            <w:tcBorders>
              <w:top w:val="single" w:sz="2" w:space="0" w:color="106CB5"/>
              <w:bottom w:val="single" w:sz="2" w:space="0" w:color="106CB5"/>
            </w:tcBorders>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$406,850</w:t>
            </w:r>
          </w:p>
        </w:tc>
      </w:tr>
    </w:tbl>
    <w:p w:rsidR="00ED2B37" w:rsidRDefault="00D83B4B">
      <w:pPr>
        <w:spacing w:after="0" w:line="240" w:lineRule="auto"/>
        <w:rPr>
          <w:rFonts w:eastAsia="MS Mincho"/>
        </w:rPr>
      </w:pPr>
      <w:r>
        <w:rPr>
          <w:rFonts w:eastAsia="MS Mincho"/>
        </w:rPr>
        <w:br w:type="page"/>
      </w:r>
    </w:p>
    <w:p w:rsidR="00ED2B37" w:rsidRDefault="00D83B4B">
      <w:pPr>
        <w:spacing w:after="0" w:line="240" w:lineRule="auto"/>
        <w:rPr>
          <w:rFonts w:eastAsia="MS Mincho"/>
        </w:rPr>
      </w:pPr>
    </w:p>
    <w:p w:rsidR="00ED2B37" w:rsidRDefault="00D83B4B">
      <w:pPr>
        <w:spacing w:after="0" w:line="240" w:lineRule="auto"/>
        <w:rPr>
          <w:rFonts w:eastAsia="MS Mincho"/>
        </w:rPr>
      </w:pPr>
    </w:p>
    <w:tbl>
      <w:tblPr>
        <w:tblStyle w:val="GridTable2-Accent612"/>
        <w:tblW w:w="2876" w:type="pct"/>
        <w:jc w:val="center"/>
        <w:tblLook w:val="04A0" w:firstRow="1" w:lastRow="0" w:firstColumn="1" w:lastColumn="0" w:noHBand="0" w:noVBand="1"/>
        <w:tblCaption w:val="Financial Commitments"/>
      </w:tblPr>
      <w:tblGrid>
        <w:gridCol w:w="4584"/>
        <w:gridCol w:w="1609"/>
      </w:tblGrid>
      <w:tr w:rsidR="0053212E" w:rsidTr="0053212E">
        <w:trPr>
          <w:cnfStyle w:val="100000000000" w:firstRow="1" w:lastRow="0" w:firstColumn="0" w:lastColumn="0" w:oddVBand="0" w:evenVBand="0" w:oddHBand="0" w:evenHBand="0" w:firstRowFirstColumn="0" w:firstRowLastColumn="0" w:lastRowFirstColumn="0" w:lastRowLastColumn="0"/>
          <w:trHeight w:hRule="exact" w:val="454"/>
          <w:tblHeader/>
          <w:jc w:val="center"/>
        </w:trPr>
        <w:tc>
          <w:tcPr>
            <w:cnfStyle w:val="001000000000" w:firstRow="0" w:lastRow="0" w:firstColumn="1" w:lastColumn="0" w:oddVBand="0" w:evenVBand="0" w:oddHBand="0" w:evenHBand="0" w:firstRowFirstColumn="0" w:firstRowLastColumn="0" w:lastRowFirstColumn="0" w:lastRowLastColumn="0"/>
            <w:tcW w:w="3701" w:type="pct"/>
            <w:shd w:val="clear" w:color="auto" w:fill="106CB5"/>
            <w:vAlign w:val="center"/>
            <w:hideMark/>
          </w:tcPr>
          <w:p w:rsidR="00ED2B37" w:rsidRDefault="00D83B4B">
            <w:pPr>
              <w:spacing w:before="40" w:after="40" w:line="240" w:lineRule="auto"/>
              <w:rPr>
                <w:rFonts w:eastAsia="MS Mincho" w:cs="Times New Roman"/>
                <w:color w:val="FFFFFF"/>
                <w:szCs w:val="22"/>
                <w:lang w:val="en-US"/>
              </w:rPr>
            </w:pPr>
            <w:r>
              <w:rPr>
                <w:rFonts w:eastAsia="MS Mincho" w:cs="Times New Roman"/>
                <w:b w:val="0"/>
                <w:bCs w:val="0"/>
                <w:color w:val="FFFFFF"/>
                <w:szCs w:val="22"/>
                <w:lang w:val="en-US"/>
              </w:rPr>
              <w:t>Financial Commitments</w:t>
            </w:r>
          </w:p>
        </w:tc>
        <w:tc>
          <w:tcPr>
            <w:tcW w:w="1299" w:type="pct"/>
            <w:shd w:val="clear" w:color="auto" w:fill="106CB5"/>
            <w:vAlign w:val="center"/>
            <w:hideMark/>
          </w:tcPr>
          <w:p w:rsidR="00ED2B37" w:rsidRDefault="00D83B4B">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eastAsia="MS Mincho" w:cs="Times New Roman"/>
                <w:color w:val="FFFFFF"/>
                <w:szCs w:val="22"/>
                <w:lang w:val="en-US"/>
              </w:rPr>
            </w:pPr>
            <w:r>
              <w:rPr>
                <w:rFonts w:eastAsia="MS Mincho" w:cs="Times New Roman"/>
                <w:b w:val="0"/>
                <w:bCs w:val="0"/>
                <w:color w:val="FFFFFF"/>
                <w:szCs w:val="22"/>
                <w:lang w:val="en-US"/>
              </w:rPr>
              <w:t>Actual</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701" w:type="pct"/>
            <w:tcBorders>
              <w:top w:val="single" w:sz="12" w:space="0" w:color="FFFFFF"/>
              <w:bottom w:val="nil"/>
              <w:right w:val="single" w:sz="4" w:space="0" w:color="FFFFFF"/>
            </w:tcBorders>
            <w:shd w:val="clear" w:color="auto" w:fill="D9D9D9"/>
            <w:noWrap/>
            <w:vAlign w:val="center"/>
            <w:hideMark/>
          </w:tcPr>
          <w:p w:rsidR="00ED2B37" w:rsidRDefault="00D83B4B">
            <w:pPr>
              <w:spacing w:before="40" w:after="40" w:line="240" w:lineRule="auto"/>
              <w:rPr>
                <w:rFonts w:eastAsia="MS Mincho" w:cs="Times New Roman"/>
                <w:szCs w:val="22"/>
                <w:lang w:val="en-US"/>
              </w:rPr>
            </w:pPr>
            <w:r>
              <w:rPr>
                <w:rFonts w:eastAsia="MS Mincho" w:cs="Times New Roman"/>
                <w:b w:val="0"/>
                <w:bCs w:val="0"/>
                <w:szCs w:val="22"/>
                <w:lang w:val="en-US"/>
              </w:rPr>
              <w:t>Operating Reserve</w:t>
            </w:r>
          </w:p>
        </w:tc>
        <w:tc>
          <w:tcPr>
            <w:tcW w:w="1299" w:type="pct"/>
            <w:tcBorders>
              <w:top w:val="single" w:sz="12" w:space="0" w:color="FFFFFF"/>
              <w:left w:val="single" w:sz="4" w:space="0" w:color="FFFFFF"/>
              <w:bottom w:val="nil"/>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$295,966</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701" w:type="pct"/>
            <w:tcBorders>
              <w:top w:val="nil"/>
              <w:bottom w:val="nil"/>
              <w:right w:val="single" w:sz="4" w:space="0" w:color="FFFFFF"/>
            </w:tcBorders>
            <w:noWrap/>
          </w:tcPr>
          <w:p w:rsidR="00ED2B37" w:rsidRDefault="00D83B4B">
            <w:pPr>
              <w:spacing w:before="40" w:after="40" w:line="240" w:lineRule="auto"/>
              <w:rPr>
                <w:rFonts w:eastAsia="MS Mincho" w:cs="Times New Roman"/>
                <w:szCs w:val="22"/>
                <w:lang w:val="en-US"/>
              </w:rPr>
            </w:pPr>
            <w:r>
              <w:rPr>
                <w:b w:val="0"/>
                <w:lang w:val="en-US"/>
              </w:rPr>
              <w:t>Other Recurrent Expenditure</w:t>
            </w:r>
          </w:p>
        </w:tc>
        <w:tc>
          <w:tcPr>
            <w:tcW w:w="1299" w:type="pct"/>
            <w:tcBorders>
              <w:top w:val="nil"/>
              <w:left w:val="single" w:sz="4" w:space="0" w:color="FFFFFF"/>
              <w:bottom w:val="nil"/>
            </w:tcBorders>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$0</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701" w:type="pct"/>
            <w:tcBorders>
              <w:top w:val="nil"/>
              <w:bottom w:val="nil"/>
              <w:right w:val="single" w:sz="4" w:space="0" w:color="FFFFFF"/>
            </w:tcBorders>
            <w:shd w:val="clear" w:color="auto" w:fill="D9D9D9"/>
            <w:noWrap/>
          </w:tcPr>
          <w:p w:rsidR="00ED2B37" w:rsidRDefault="00D83B4B">
            <w:pPr>
              <w:spacing w:before="40" w:after="40" w:line="240" w:lineRule="auto"/>
              <w:rPr>
                <w:rFonts w:eastAsia="MS Mincho" w:cs="Times New Roman"/>
                <w:szCs w:val="22"/>
                <w:lang w:val="en-US"/>
              </w:rPr>
            </w:pPr>
            <w:r>
              <w:rPr>
                <w:b w:val="0"/>
                <w:lang w:val="en-US"/>
              </w:rPr>
              <w:t>Provision Accounts</w:t>
            </w:r>
          </w:p>
        </w:tc>
        <w:tc>
          <w:tcPr>
            <w:tcW w:w="1299" w:type="pct"/>
            <w:tcBorders>
              <w:top w:val="nil"/>
              <w:left w:val="single" w:sz="4" w:space="0" w:color="FFFFFF"/>
              <w:bottom w:val="nil"/>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$0</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701" w:type="pct"/>
            <w:tcBorders>
              <w:top w:val="nil"/>
              <w:bottom w:val="nil"/>
              <w:right w:val="single" w:sz="4" w:space="0" w:color="FFFFFF"/>
            </w:tcBorders>
            <w:shd w:val="clear" w:color="auto" w:fill="auto"/>
            <w:noWrap/>
          </w:tcPr>
          <w:p w:rsidR="00ED2B37" w:rsidRDefault="00D83B4B">
            <w:pPr>
              <w:spacing w:before="40" w:after="40" w:line="240" w:lineRule="auto"/>
              <w:rPr>
                <w:rFonts w:eastAsia="MS Mincho" w:cs="Times New Roman"/>
                <w:szCs w:val="22"/>
                <w:lang w:val="en-US"/>
              </w:rPr>
            </w:pPr>
            <w:r>
              <w:rPr>
                <w:b w:val="0"/>
                <w:lang w:val="en-US"/>
              </w:rPr>
              <w:t>Funds Received in Advance</w:t>
            </w:r>
          </w:p>
        </w:tc>
        <w:tc>
          <w:tcPr>
            <w:tcW w:w="1299" w:type="pct"/>
            <w:tcBorders>
              <w:top w:val="nil"/>
              <w:left w:val="single" w:sz="4" w:space="0" w:color="FFFFFF"/>
              <w:bottom w:val="nil"/>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$52,745</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701" w:type="pct"/>
            <w:tcBorders>
              <w:top w:val="nil"/>
              <w:bottom w:val="nil"/>
              <w:right w:val="single" w:sz="4" w:space="0" w:color="FFFFFF"/>
            </w:tcBorders>
            <w:shd w:val="clear" w:color="auto" w:fill="DBD9D6"/>
            <w:noWrap/>
          </w:tcPr>
          <w:p w:rsidR="00ED2B37" w:rsidRDefault="00D83B4B">
            <w:pPr>
              <w:spacing w:before="40" w:after="40" w:line="240" w:lineRule="auto"/>
              <w:rPr>
                <w:rFonts w:eastAsia="MS Mincho" w:cs="Times New Roman"/>
                <w:szCs w:val="22"/>
                <w:lang w:val="en-US"/>
              </w:rPr>
            </w:pPr>
            <w:r>
              <w:rPr>
                <w:b w:val="0"/>
                <w:lang w:val="en-US"/>
              </w:rPr>
              <w:t>School Based Programs</w:t>
            </w:r>
          </w:p>
        </w:tc>
        <w:tc>
          <w:tcPr>
            <w:tcW w:w="1299" w:type="pct"/>
            <w:tcBorders>
              <w:top w:val="nil"/>
              <w:left w:val="single" w:sz="4" w:space="0" w:color="FFFFFF"/>
              <w:bottom w:val="nil"/>
            </w:tcBorders>
            <w:shd w:val="clear" w:color="auto" w:fill="DBD9D6"/>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$20,000</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701" w:type="pct"/>
            <w:tcBorders>
              <w:top w:val="nil"/>
              <w:bottom w:val="nil"/>
              <w:right w:val="single" w:sz="4" w:space="0" w:color="FFFFFF"/>
            </w:tcBorders>
            <w:noWrap/>
          </w:tcPr>
          <w:p w:rsidR="00ED2B37" w:rsidRDefault="00D83B4B">
            <w:pPr>
              <w:spacing w:before="40" w:after="40" w:line="240" w:lineRule="auto"/>
              <w:rPr>
                <w:rFonts w:eastAsia="MS Mincho" w:cs="Times New Roman"/>
                <w:szCs w:val="22"/>
                <w:lang w:val="en-US"/>
              </w:rPr>
            </w:pPr>
            <w:r>
              <w:rPr>
                <w:b w:val="0"/>
                <w:lang w:val="en-US"/>
              </w:rPr>
              <w:t>Beneficiary/Memorial Accounts</w:t>
            </w:r>
          </w:p>
        </w:tc>
        <w:tc>
          <w:tcPr>
            <w:tcW w:w="1299" w:type="pct"/>
            <w:tcBorders>
              <w:top w:val="nil"/>
              <w:left w:val="single" w:sz="4" w:space="0" w:color="FFFFFF"/>
              <w:bottom w:val="nil"/>
            </w:tcBorders>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$0</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701" w:type="pct"/>
            <w:tcBorders>
              <w:top w:val="nil"/>
              <w:bottom w:val="nil"/>
              <w:right w:val="single" w:sz="4" w:space="0" w:color="FFFFFF"/>
            </w:tcBorders>
            <w:shd w:val="clear" w:color="auto" w:fill="D9D9D9"/>
            <w:noWrap/>
          </w:tcPr>
          <w:p w:rsidR="00ED2B37" w:rsidRDefault="00D83B4B">
            <w:pPr>
              <w:spacing w:before="40" w:after="40" w:line="240" w:lineRule="auto"/>
              <w:rPr>
                <w:rFonts w:eastAsia="MS Mincho" w:cs="Times New Roman"/>
                <w:szCs w:val="22"/>
                <w:lang w:val="en-US"/>
              </w:rPr>
            </w:pPr>
            <w:r>
              <w:rPr>
                <w:b w:val="0"/>
                <w:lang w:val="en-US"/>
              </w:rPr>
              <w:t>Cooperative Bank Account</w:t>
            </w:r>
          </w:p>
        </w:tc>
        <w:tc>
          <w:tcPr>
            <w:tcW w:w="1299" w:type="pct"/>
            <w:tcBorders>
              <w:top w:val="nil"/>
              <w:left w:val="single" w:sz="4" w:space="0" w:color="FFFFFF"/>
              <w:bottom w:val="nil"/>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$0</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701" w:type="pct"/>
            <w:tcBorders>
              <w:top w:val="nil"/>
              <w:bottom w:val="nil"/>
              <w:right w:val="single" w:sz="4" w:space="0" w:color="FFFFFF"/>
            </w:tcBorders>
            <w:noWrap/>
          </w:tcPr>
          <w:p w:rsidR="00ED2B37" w:rsidRDefault="00D83B4B">
            <w:pPr>
              <w:spacing w:before="40" w:after="40" w:line="240" w:lineRule="auto"/>
              <w:rPr>
                <w:rFonts w:eastAsia="MS Mincho" w:cs="Times New Roman"/>
                <w:szCs w:val="22"/>
                <w:lang w:val="en-US"/>
              </w:rPr>
            </w:pPr>
            <w:r>
              <w:rPr>
                <w:b w:val="0"/>
                <w:lang w:val="en-US"/>
              </w:rPr>
              <w:t>Funds for Committees/Shared Arrangements</w:t>
            </w:r>
          </w:p>
        </w:tc>
        <w:tc>
          <w:tcPr>
            <w:tcW w:w="1299" w:type="pct"/>
            <w:tcBorders>
              <w:top w:val="nil"/>
              <w:left w:val="single" w:sz="4" w:space="0" w:color="FFFFFF"/>
              <w:bottom w:val="nil"/>
            </w:tcBorders>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$0</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701" w:type="pct"/>
            <w:tcBorders>
              <w:top w:val="nil"/>
              <w:bottom w:val="nil"/>
              <w:right w:val="single" w:sz="4" w:space="0" w:color="FFFFFF"/>
            </w:tcBorders>
            <w:shd w:val="clear" w:color="auto" w:fill="D9D9D9"/>
            <w:noWrap/>
          </w:tcPr>
          <w:p w:rsidR="00ED2B37" w:rsidRDefault="00D83B4B">
            <w:pPr>
              <w:spacing w:before="40" w:after="40" w:line="240" w:lineRule="auto"/>
              <w:rPr>
                <w:rFonts w:eastAsia="MS Mincho" w:cs="Times New Roman"/>
                <w:szCs w:val="22"/>
                <w:lang w:val="en-US"/>
              </w:rPr>
            </w:pPr>
            <w:r>
              <w:rPr>
                <w:b w:val="0"/>
                <w:lang w:val="en-US"/>
              </w:rPr>
              <w:t>Repayable to the Department</w:t>
            </w:r>
          </w:p>
        </w:tc>
        <w:tc>
          <w:tcPr>
            <w:tcW w:w="1299" w:type="pct"/>
            <w:tcBorders>
              <w:top w:val="nil"/>
              <w:left w:val="single" w:sz="4" w:space="0" w:color="FFFFFF"/>
              <w:bottom w:val="nil"/>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$0</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701" w:type="pct"/>
            <w:tcBorders>
              <w:top w:val="nil"/>
              <w:bottom w:val="nil"/>
              <w:right w:val="single" w:sz="4" w:space="0" w:color="FFFFFF"/>
            </w:tcBorders>
            <w:noWrap/>
          </w:tcPr>
          <w:p w:rsidR="00ED2B37" w:rsidRDefault="00D83B4B">
            <w:pPr>
              <w:spacing w:before="40" w:after="40" w:line="240" w:lineRule="auto"/>
              <w:rPr>
                <w:rFonts w:eastAsia="MS Mincho" w:cs="Times New Roman"/>
                <w:szCs w:val="22"/>
                <w:lang w:val="en-US"/>
              </w:rPr>
            </w:pPr>
            <w:r>
              <w:rPr>
                <w:b w:val="0"/>
                <w:lang w:val="en-US"/>
              </w:rPr>
              <w:t>Asset/Equipment Replacement &lt; 12 months</w:t>
            </w:r>
          </w:p>
        </w:tc>
        <w:tc>
          <w:tcPr>
            <w:tcW w:w="1299" w:type="pct"/>
            <w:tcBorders>
              <w:top w:val="nil"/>
              <w:left w:val="single" w:sz="4" w:space="0" w:color="FFFFFF"/>
              <w:bottom w:val="nil"/>
            </w:tcBorders>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$0</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701" w:type="pct"/>
            <w:tcBorders>
              <w:top w:val="nil"/>
              <w:bottom w:val="nil"/>
              <w:right w:val="single" w:sz="4" w:space="0" w:color="FFFFFF"/>
            </w:tcBorders>
            <w:shd w:val="clear" w:color="auto" w:fill="D9D9D9"/>
            <w:noWrap/>
          </w:tcPr>
          <w:p w:rsidR="00ED2B37" w:rsidRDefault="00D83B4B">
            <w:pPr>
              <w:spacing w:before="40" w:after="40" w:line="240" w:lineRule="auto"/>
              <w:rPr>
                <w:rFonts w:eastAsia="MS Mincho" w:cs="Times New Roman"/>
                <w:szCs w:val="22"/>
                <w:lang w:val="en-US"/>
              </w:rPr>
            </w:pPr>
            <w:r>
              <w:rPr>
                <w:b w:val="0"/>
                <w:lang w:val="en-US"/>
              </w:rPr>
              <w:t>Capital - Buildings/Grounds &lt; 12 months</w:t>
            </w:r>
          </w:p>
        </w:tc>
        <w:tc>
          <w:tcPr>
            <w:tcW w:w="1299" w:type="pct"/>
            <w:tcBorders>
              <w:top w:val="nil"/>
              <w:left w:val="single" w:sz="4" w:space="0" w:color="FFFFFF"/>
              <w:bottom w:val="nil"/>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$0</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701" w:type="pct"/>
            <w:tcBorders>
              <w:top w:val="nil"/>
              <w:bottom w:val="nil"/>
              <w:right w:val="single" w:sz="4" w:space="0" w:color="FFFFFF"/>
            </w:tcBorders>
            <w:noWrap/>
          </w:tcPr>
          <w:p w:rsidR="00ED2B37" w:rsidRDefault="00D83B4B">
            <w:pPr>
              <w:spacing w:before="40" w:after="40" w:line="240" w:lineRule="auto"/>
              <w:rPr>
                <w:rFonts w:eastAsia="MS Mincho" w:cs="Times New Roman"/>
                <w:szCs w:val="22"/>
                <w:lang w:val="en-US"/>
              </w:rPr>
            </w:pPr>
            <w:r>
              <w:rPr>
                <w:b w:val="0"/>
                <w:lang w:val="en-US"/>
              </w:rPr>
              <w:t>Maintenance - Buildings/Grounds &lt; 12 months</w:t>
            </w:r>
          </w:p>
        </w:tc>
        <w:tc>
          <w:tcPr>
            <w:tcW w:w="1299" w:type="pct"/>
            <w:tcBorders>
              <w:top w:val="nil"/>
              <w:left w:val="single" w:sz="4" w:space="0" w:color="FFFFFF"/>
              <w:bottom w:val="nil"/>
            </w:tcBorders>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$220,000</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701" w:type="pct"/>
            <w:tcBorders>
              <w:top w:val="nil"/>
              <w:bottom w:val="nil"/>
              <w:right w:val="single" w:sz="4" w:space="0" w:color="FFFFFF"/>
            </w:tcBorders>
            <w:shd w:val="clear" w:color="auto" w:fill="D9D9D9"/>
            <w:noWrap/>
          </w:tcPr>
          <w:p w:rsidR="00ED2B37" w:rsidRDefault="00D83B4B">
            <w:pPr>
              <w:spacing w:before="40" w:after="40" w:line="240" w:lineRule="auto"/>
              <w:rPr>
                <w:rFonts w:eastAsia="MS Mincho" w:cs="Times New Roman"/>
                <w:szCs w:val="22"/>
                <w:lang w:val="en-US"/>
              </w:rPr>
            </w:pPr>
            <w:r>
              <w:rPr>
                <w:b w:val="0"/>
                <w:lang w:val="en-US"/>
              </w:rPr>
              <w:t xml:space="preserve">Asset/Equipment Replacement &gt; 12 </w:t>
            </w:r>
            <w:r>
              <w:rPr>
                <w:b w:val="0"/>
                <w:lang w:val="en-US"/>
              </w:rPr>
              <w:t>months</w:t>
            </w:r>
          </w:p>
        </w:tc>
        <w:tc>
          <w:tcPr>
            <w:tcW w:w="1299" w:type="pct"/>
            <w:tcBorders>
              <w:top w:val="nil"/>
              <w:left w:val="single" w:sz="4" w:space="0" w:color="FFFFFF"/>
              <w:bottom w:val="nil"/>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$0</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701" w:type="pct"/>
            <w:tcBorders>
              <w:top w:val="nil"/>
              <w:bottom w:val="nil"/>
              <w:right w:val="single" w:sz="4" w:space="0" w:color="FFFFFF"/>
            </w:tcBorders>
            <w:shd w:val="clear" w:color="auto" w:fill="auto"/>
            <w:noWrap/>
          </w:tcPr>
          <w:p w:rsidR="00ED2B37" w:rsidRDefault="00D83B4B">
            <w:pPr>
              <w:spacing w:before="40" w:after="40" w:line="240" w:lineRule="auto"/>
              <w:rPr>
                <w:rFonts w:eastAsia="MS Mincho" w:cs="Times New Roman"/>
                <w:szCs w:val="22"/>
                <w:lang w:val="en-US"/>
              </w:rPr>
            </w:pPr>
            <w:r>
              <w:rPr>
                <w:b w:val="0"/>
                <w:lang w:val="en-US"/>
              </w:rPr>
              <w:t>Capital - Buildings/Grounds &gt; 12 months</w:t>
            </w:r>
          </w:p>
        </w:tc>
        <w:tc>
          <w:tcPr>
            <w:tcW w:w="1299" w:type="pct"/>
            <w:tcBorders>
              <w:top w:val="nil"/>
              <w:left w:val="single" w:sz="4" w:space="0" w:color="FFFFFF"/>
              <w:bottom w:val="nil"/>
            </w:tcBorders>
            <w:shd w:val="clear" w:color="auto" w:fill="auto"/>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$0</w:t>
            </w:r>
          </w:p>
        </w:tc>
      </w:tr>
      <w:tr w:rsidR="0053212E" w:rsidTr="0053212E">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701" w:type="pct"/>
            <w:tcBorders>
              <w:top w:val="nil"/>
              <w:bottom w:val="nil"/>
              <w:right w:val="single" w:sz="4" w:space="0" w:color="FFFFFF"/>
            </w:tcBorders>
            <w:shd w:val="clear" w:color="auto" w:fill="D9D9D9"/>
            <w:noWrap/>
          </w:tcPr>
          <w:p w:rsidR="00ED2B37" w:rsidRDefault="00D83B4B">
            <w:pPr>
              <w:spacing w:before="40" w:after="40" w:line="240" w:lineRule="auto"/>
              <w:rPr>
                <w:rFonts w:eastAsia="MS Mincho" w:cs="Times New Roman"/>
                <w:szCs w:val="22"/>
                <w:lang w:val="en-US"/>
              </w:rPr>
            </w:pPr>
            <w:r>
              <w:rPr>
                <w:b w:val="0"/>
                <w:lang w:val="en-US"/>
              </w:rPr>
              <w:t>Maintenance - Buildings/Grounds &gt; 12 months</w:t>
            </w:r>
          </w:p>
        </w:tc>
        <w:tc>
          <w:tcPr>
            <w:tcW w:w="1299" w:type="pct"/>
            <w:tcBorders>
              <w:top w:val="nil"/>
              <w:left w:val="single" w:sz="4" w:space="0" w:color="FFFFFF"/>
              <w:bottom w:val="nil"/>
            </w:tcBorders>
            <w:shd w:val="clear" w:color="auto" w:fill="D9D9D9"/>
            <w:noWrap/>
            <w:vAlign w:val="center"/>
          </w:tcPr>
          <w:p w:rsidR="00ED2B37" w:rsidRDefault="00D83B4B">
            <w:pPr>
              <w:jc w:val="right"/>
              <w:cnfStyle w:val="000000100000" w:firstRow="0" w:lastRow="0" w:firstColumn="0" w:lastColumn="0" w:oddVBand="0" w:evenVBand="0" w:oddHBand="1" w:evenHBand="0" w:firstRowFirstColumn="0" w:firstRowLastColumn="0" w:lastRowFirstColumn="0" w:lastRowLastColumn="0"/>
            </w:pPr>
            <w:r>
              <w:t>$0</w:t>
            </w:r>
          </w:p>
        </w:tc>
      </w:tr>
      <w:tr w:rsidR="0053212E" w:rsidTr="0053212E">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701" w:type="pct"/>
            <w:tcBorders>
              <w:top w:val="single" w:sz="2" w:space="0" w:color="106CB5"/>
              <w:bottom w:val="single" w:sz="2" w:space="0" w:color="106CB5"/>
            </w:tcBorders>
            <w:noWrap/>
            <w:vAlign w:val="center"/>
            <w:hideMark/>
          </w:tcPr>
          <w:p w:rsidR="00ED2B37" w:rsidRDefault="00D83B4B">
            <w:pPr>
              <w:spacing w:before="40" w:after="40" w:line="240" w:lineRule="auto"/>
              <w:rPr>
                <w:rFonts w:eastAsia="MS Mincho" w:cs="Times New Roman"/>
                <w:szCs w:val="22"/>
                <w:lang w:val="en-US"/>
              </w:rPr>
            </w:pPr>
            <w:r>
              <w:rPr>
                <w:rFonts w:eastAsia="MS Mincho" w:cs="Times New Roman"/>
                <w:bCs w:val="0"/>
                <w:szCs w:val="22"/>
                <w:lang w:val="en-US"/>
              </w:rPr>
              <w:t>Total Financial Commitments</w:t>
            </w:r>
          </w:p>
        </w:tc>
        <w:tc>
          <w:tcPr>
            <w:tcW w:w="1299" w:type="pct"/>
            <w:tcBorders>
              <w:top w:val="single" w:sz="2" w:space="0" w:color="106CB5"/>
              <w:bottom w:val="single" w:sz="2" w:space="0" w:color="106CB5"/>
            </w:tcBorders>
            <w:noWrap/>
            <w:vAlign w:val="center"/>
          </w:tcPr>
          <w:p w:rsidR="00ED2B37" w:rsidRDefault="00D83B4B">
            <w:pPr>
              <w:jc w:val="right"/>
              <w:cnfStyle w:val="000000000000" w:firstRow="0" w:lastRow="0" w:firstColumn="0" w:lastColumn="0" w:oddVBand="0" w:evenVBand="0" w:oddHBand="0" w:evenHBand="0" w:firstRowFirstColumn="0" w:firstRowLastColumn="0" w:lastRowFirstColumn="0" w:lastRowLastColumn="0"/>
            </w:pPr>
            <w:r>
              <w:t>$588,711</w:t>
            </w:r>
          </w:p>
        </w:tc>
      </w:tr>
    </w:tbl>
    <w:p w:rsidR="00ED2B37" w:rsidRDefault="00D83B4B">
      <w:pPr>
        <w:rPr>
          <w:rFonts w:eastAsia="MS Mincho"/>
        </w:rPr>
      </w:pPr>
    </w:p>
    <w:p w:rsidR="00ED2B37" w:rsidRDefault="00D83B4B">
      <w:pPr>
        <w:rPr>
          <w:rFonts w:eastAsia="MS Mincho"/>
        </w:rPr>
      </w:pPr>
    </w:p>
    <w:p w:rsidR="00ED2B37" w:rsidRDefault="00D83B4B">
      <w:pPr>
        <w:numPr>
          <w:ilvl w:val="0"/>
          <w:numId w:val="28"/>
        </w:numPr>
        <w:spacing w:after="0" w:line="240" w:lineRule="auto"/>
        <w:contextualSpacing/>
        <w:rPr>
          <w:rFonts w:eastAsia="MS Mincho"/>
        </w:rPr>
      </w:pPr>
      <w:r>
        <w:rPr>
          <w:rFonts w:eastAsia="MS Mincho"/>
        </w:rPr>
        <w:t>The equity funding reported above is a subset of the overall revenue reported by the school.</w:t>
      </w:r>
    </w:p>
    <w:p w:rsidR="00ED2B37" w:rsidRDefault="00D83B4B">
      <w:pPr>
        <w:numPr>
          <w:ilvl w:val="0"/>
          <w:numId w:val="28"/>
        </w:numPr>
        <w:spacing w:after="0" w:line="240" w:lineRule="auto"/>
        <w:rPr>
          <w:rFonts w:eastAsia="MS Mincho"/>
        </w:rPr>
      </w:pPr>
      <w:r>
        <w:rPr>
          <w:rFonts w:eastAsia="MS Mincho"/>
        </w:rPr>
        <w:t>Student Resource Package Expenditure figures are as of 26 Feb 2020 and are subject to change during the reconciliation process.</w:t>
      </w:r>
    </w:p>
    <w:p w:rsidR="00ED2B37" w:rsidRDefault="00D83B4B">
      <w:pPr>
        <w:numPr>
          <w:ilvl w:val="0"/>
          <w:numId w:val="28"/>
        </w:numPr>
        <w:spacing w:after="0" w:line="240" w:lineRule="auto"/>
        <w:rPr>
          <w:rFonts w:eastAsia="MS Mincho"/>
        </w:rPr>
      </w:pPr>
      <w:r>
        <w:rPr>
          <w:rFonts w:eastAsia="MS Mincho"/>
        </w:rPr>
        <w:t>Misc Expenses may include bank charges, health and personal development, administration charges, camp/excursion costs and taxati</w:t>
      </w:r>
      <w:r>
        <w:rPr>
          <w:rFonts w:eastAsia="MS Mincho"/>
        </w:rPr>
        <w:t xml:space="preserve">on charges. </w:t>
      </w:r>
    </w:p>
    <w:p w:rsidR="00ED2B37" w:rsidRDefault="00D83B4B">
      <w:pPr>
        <w:numPr>
          <w:ilvl w:val="0"/>
          <w:numId w:val="28"/>
        </w:numPr>
        <w:spacing w:line="240" w:lineRule="auto"/>
        <w:ind w:left="357" w:hanging="357"/>
        <w:rPr>
          <w:rFonts w:eastAsia="MS Mincho"/>
        </w:rPr>
      </w:pPr>
      <w:r>
        <w:rPr>
          <w:rFonts w:eastAsia="MS Mincho"/>
        </w:rPr>
        <w:t>Salaries and Allowances refers to school-level payroll.</w:t>
      </w:r>
    </w:p>
    <w:p w:rsidR="00ED2B37" w:rsidRDefault="00D83B4B">
      <w:pPr>
        <w:rPr>
          <w:rFonts w:eastAsia="MS Mincho"/>
          <w:i/>
        </w:rPr>
      </w:pPr>
      <w:r>
        <w:rPr>
          <w:rFonts w:eastAsia="MS Mincho"/>
          <w:i/>
        </w:rPr>
        <w:t>All funds received from the Department, or raised by the school, have been expended, or committed to subsequent years, to support the achievement of educational outcomes and other operati</w:t>
      </w:r>
      <w:r>
        <w:rPr>
          <w:rFonts w:eastAsia="MS Mincho"/>
          <w:i/>
        </w:rPr>
        <w:t>onal needs of the school, consistent with Department policies, School Council approvals and the intent/purposes for which funding was provided or raised.</w:t>
      </w:r>
    </w:p>
    <w:p w:rsidR="00ED2B37" w:rsidRDefault="00D83B4B">
      <w:pPr>
        <w:pStyle w:val="ESHeading1"/>
        <w:rPr>
          <w:b w:val="0"/>
          <w:color w:val="auto"/>
          <w:sz w:val="18"/>
          <w:szCs w:val="18"/>
        </w:rPr>
      </w:pPr>
      <w:r>
        <w:rPr>
          <w:b w:val="0"/>
        </w:rPr>
        <w:br w:type="page"/>
      </w:r>
    </w:p>
    <w:p w:rsidR="00ED2B37" w:rsidRDefault="00D83B4B">
      <w:pPr>
        <w:spacing w:line="340" w:lineRule="atLeast"/>
        <w:jc w:val="center"/>
        <w:outlineLvl w:val="0"/>
        <w:rPr>
          <w:rFonts w:eastAsia="MS Gothic" w:cs="Times New Roman"/>
          <w:b/>
          <w:spacing w:val="5"/>
          <w:kern w:val="28"/>
          <w:sz w:val="44"/>
          <w:szCs w:val="52"/>
        </w:rPr>
      </w:pPr>
      <w:r>
        <w:rPr>
          <w:rFonts w:eastAsia="MS Gothic" w:cs="Times New Roman"/>
          <w:b/>
          <w:spacing w:val="5"/>
          <w:kern w:val="28"/>
          <w:sz w:val="44"/>
          <w:szCs w:val="52"/>
        </w:rPr>
        <w:t>How to read the Annual Report</w:t>
      </w:r>
    </w:p>
    <w:p w:rsidR="00ED2B37" w:rsidRDefault="00D83B4B">
      <w:pPr>
        <w:spacing w:before="240"/>
        <w:rPr>
          <w:rFonts w:eastAsia="MS Gothic" w:cs="Times New Roman"/>
          <w:b/>
          <w:bCs/>
          <w:caps/>
          <w:color w:val="00008B"/>
          <w:sz w:val="20"/>
          <w:szCs w:val="20"/>
          <w:u w:val="single"/>
        </w:rPr>
      </w:pPr>
      <w:r>
        <w:rPr>
          <w:rFonts w:eastAsia="MS Gothic" w:cs="Times New Roman"/>
          <w:b/>
          <w:bCs/>
          <w:caps/>
          <w:color w:val="00008B"/>
          <w:sz w:val="20"/>
          <w:szCs w:val="20"/>
          <w:u w:val="single"/>
        </w:rPr>
        <w:t xml:space="preserve">What does the </w:t>
      </w:r>
      <w:r w:rsidRPr="005A2650">
        <w:rPr>
          <w:rFonts w:eastAsia="MS Gothic" w:cs="Times New Roman"/>
          <w:b/>
          <w:bCs/>
          <w:i/>
          <w:caps/>
          <w:color w:val="00008B"/>
          <w:sz w:val="20"/>
          <w:szCs w:val="20"/>
          <w:u w:val="single"/>
        </w:rPr>
        <w:t>About Our School</w:t>
      </w:r>
      <w:r>
        <w:rPr>
          <w:rFonts w:eastAsia="MS Gothic" w:cs="Times New Roman"/>
          <w:b/>
          <w:bCs/>
          <w:caps/>
          <w:color w:val="00008B"/>
          <w:sz w:val="20"/>
          <w:szCs w:val="20"/>
          <w:u w:val="single"/>
        </w:rPr>
        <w:t xml:space="preserve"> section refer to?</w:t>
      </w:r>
    </w:p>
    <w:p w:rsidR="00ED2B37" w:rsidRDefault="00D83B4B">
      <w:pPr>
        <w:spacing w:after="0" w:line="240" w:lineRule="auto"/>
        <w:rPr>
          <w:rFonts w:eastAsia="MS Mincho"/>
        </w:rPr>
      </w:pPr>
      <w:r>
        <w:rPr>
          <w:rFonts w:eastAsia="MS Mincho"/>
        </w:rPr>
        <w:t xml:space="preserve">The About Our School </w:t>
      </w:r>
      <w:r>
        <w:rPr>
          <w:rFonts w:eastAsia="MS Mincho"/>
        </w:rPr>
        <w:t>page provides a brief background on the school, an outline of the school’s performance over the year and</w:t>
      </w:r>
    </w:p>
    <w:p w:rsidR="00ED2B37" w:rsidRDefault="00D83B4B">
      <w:pPr>
        <w:rPr>
          <w:rFonts w:eastAsia="MS Mincho"/>
        </w:rPr>
      </w:pPr>
      <w:r>
        <w:rPr>
          <w:rFonts w:eastAsia="MS Mincho"/>
        </w:rPr>
        <w:t>plans for the future.</w:t>
      </w:r>
    </w:p>
    <w:p w:rsidR="00ED2B37" w:rsidRDefault="00D83B4B">
      <w:pPr>
        <w:rPr>
          <w:rFonts w:eastAsia="MS Mincho"/>
        </w:rPr>
      </w:pPr>
      <w:r>
        <w:rPr>
          <w:rFonts w:eastAsia="MS Mincho"/>
        </w:rPr>
        <w:t>The ‘School Context’ describes the school’s vision, values and purpose. Details include the school’s geographic location, size an</w:t>
      </w:r>
      <w:r>
        <w:rPr>
          <w:rFonts w:eastAsia="MS Mincho"/>
        </w:rPr>
        <w:t>d structure, social characteristics, enrolment characteristics and special programs.</w:t>
      </w:r>
    </w:p>
    <w:p w:rsidR="00ED2B37" w:rsidRDefault="00D83B4B">
      <w:pPr>
        <w:rPr>
          <w:rFonts w:eastAsia="MS Mincho"/>
        </w:rPr>
      </w:pPr>
      <w:r>
        <w:rPr>
          <w:rFonts w:eastAsia="MS Mincho"/>
        </w:rPr>
        <w:t>The ‘Framework for Improving Student Outcomes (FISO)’ section includes the improvement initiatives the school has selected and the progress they have made towards achievin</w:t>
      </w:r>
      <w:r>
        <w:rPr>
          <w:rFonts w:eastAsia="MS Mincho"/>
        </w:rPr>
        <w:t xml:space="preserve">g them.  </w:t>
      </w:r>
    </w:p>
    <w:p w:rsidR="00ED2B37" w:rsidRDefault="00D83B4B">
      <w:pPr>
        <w:rPr>
          <w:rFonts w:eastAsia="MS Gothic" w:cs="Times New Roman"/>
          <w:b/>
          <w:bCs/>
          <w:caps/>
          <w:color w:val="00008B"/>
          <w:sz w:val="20"/>
          <w:szCs w:val="20"/>
          <w:u w:val="single"/>
        </w:rPr>
      </w:pPr>
      <w:r>
        <w:rPr>
          <w:rFonts w:eastAsia="MS Gothic" w:cs="Times New Roman"/>
          <w:b/>
          <w:bCs/>
          <w:caps/>
          <w:color w:val="00008B"/>
          <w:sz w:val="20"/>
          <w:szCs w:val="20"/>
          <w:u w:val="single"/>
        </w:rPr>
        <w:t xml:space="preserve">What does the </w:t>
      </w:r>
      <w:r>
        <w:rPr>
          <w:rFonts w:eastAsia="MS Gothic" w:cs="Times New Roman"/>
          <w:b/>
          <w:bCs/>
          <w:i/>
          <w:caps/>
          <w:color w:val="00008B"/>
          <w:sz w:val="20"/>
          <w:szCs w:val="20"/>
          <w:u w:val="single"/>
        </w:rPr>
        <w:t>Performance Summary</w:t>
      </w:r>
      <w:r>
        <w:rPr>
          <w:rFonts w:eastAsia="MS Gothic" w:cs="Times New Roman"/>
          <w:b/>
          <w:bCs/>
          <w:caps/>
          <w:color w:val="00008B"/>
          <w:sz w:val="20"/>
          <w:szCs w:val="20"/>
          <w:u w:val="single"/>
        </w:rPr>
        <w:t xml:space="preserve"> section of this report refer to?</w:t>
      </w:r>
    </w:p>
    <w:p w:rsidR="00ED2B37" w:rsidRDefault="00D83B4B">
      <w:pPr>
        <w:spacing w:after="0" w:line="276" w:lineRule="auto"/>
        <w:rPr>
          <w:rFonts w:eastAsia="Arial" w:cs="Times New Roman"/>
          <w:color w:val="000000"/>
          <w:szCs w:val="20"/>
        </w:rPr>
      </w:pPr>
      <w:r>
        <w:rPr>
          <w:rFonts w:eastAsia="Arial" w:cs="Times New Roman"/>
          <w:color w:val="000000"/>
          <w:szCs w:val="20"/>
        </w:rPr>
        <w:t>The Performance Summary reports on data in three key areas:</w:t>
      </w:r>
    </w:p>
    <w:p w:rsidR="00ED2B37" w:rsidRDefault="00D83B4B">
      <w:pPr>
        <w:spacing w:before="120" w:after="0" w:line="276" w:lineRule="auto"/>
        <w:rPr>
          <w:rFonts w:eastAsia="Arial" w:cs="Times New Roman"/>
          <w:b/>
          <w:color w:val="000000"/>
          <w:szCs w:val="20"/>
        </w:rPr>
      </w:pPr>
      <w:r>
        <w:rPr>
          <w:rFonts w:eastAsia="Arial" w:cs="Times New Roman"/>
          <w:b/>
          <w:color w:val="000000"/>
          <w:szCs w:val="20"/>
        </w:rPr>
        <w:t>Achievement</w:t>
      </w:r>
    </w:p>
    <w:p w:rsidR="00ED2B37" w:rsidRDefault="00D83B4B">
      <w:pPr>
        <w:numPr>
          <w:ilvl w:val="0"/>
          <w:numId w:val="29"/>
        </w:numPr>
        <w:spacing w:after="0" w:line="276" w:lineRule="auto"/>
        <w:rPr>
          <w:rFonts w:eastAsia="Arial" w:cs="Times New Roman"/>
          <w:color w:val="000000"/>
          <w:szCs w:val="20"/>
        </w:rPr>
      </w:pPr>
      <w:r>
        <w:rPr>
          <w:rFonts w:eastAsia="Arial" w:cs="Times New Roman"/>
          <w:color w:val="000000"/>
          <w:szCs w:val="20"/>
        </w:rPr>
        <w:t>student achievements in:</w:t>
      </w:r>
    </w:p>
    <w:p w:rsidR="00ED2B37" w:rsidRDefault="00D83B4B">
      <w:pPr>
        <w:numPr>
          <w:ilvl w:val="0"/>
          <w:numId w:val="30"/>
        </w:numPr>
        <w:spacing w:after="0" w:line="276" w:lineRule="auto"/>
        <w:contextualSpacing/>
        <w:rPr>
          <w:rFonts w:eastAsia="Arial" w:cs="Times New Roman"/>
          <w:color w:val="000000"/>
          <w:szCs w:val="20"/>
        </w:rPr>
      </w:pPr>
      <w:r>
        <w:rPr>
          <w:rFonts w:eastAsia="Arial" w:cs="Times New Roman"/>
          <w:color w:val="000000"/>
          <w:szCs w:val="20"/>
        </w:rPr>
        <w:t>English and Mathematics for National Literacy and Numeracy tests (NAPLAN)</w:t>
      </w:r>
    </w:p>
    <w:p w:rsidR="00ED2B37" w:rsidRDefault="00D83B4B">
      <w:pPr>
        <w:numPr>
          <w:ilvl w:val="0"/>
          <w:numId w:val="30"/>
        </w:numPr>
        <w:spacing w:after="0" w:line="276" w:lineRule="auto"/>
        <w:contextualSpacing/>
        <w:rPr>
          <w:rFonts w:eastAsia="Arial" w:cs="Times New Roman"/>
          <w:color w:val="000000"/>
          <w:szCs w:val="20"/>
        </w:rPr>
      </w:pPr>
      <w:r>
        <w:rPr>
          <w:rFonts w:eastAsia="Arial" w:cs="Times New Roman"/>
          <w:color w:val="000000"/>
          <w:szCs w:val="20"/>
        </w:rPr>
        <w:t xml:space="preserve">English </w:t>
      </w:r>
      <w:r>
        <w:rPr>
          <w:rFonts w:eastAsia="Arial" w:cs="Times New Roman"/>
          <w:color w:val="000000"/>
          <w:szCs w:val="20"/>
        </w:rPr>
        <w:t>and Mathematics for Teacher Judgements against the curriculum</w:t>
      </w:r>
    </w:p>
    <w:p w:rsidR="00ED2B37" w:rsidRDefault="00D83B4B">
      <w:pPr>
        <w:numPr>
          <w:ilvl w:val="0"/>
          <w:numId w:val="30"/>
        </w:numPr>
        <w:spacing w:after="0" w:line="276" w:lineRule="auto"/>
        <w:contextualSpacing/>
        <w:rPr>
          <w:rFonts w:eastAsia="Arial" w:cs="Times New Roman"/>
          <w:color w:val="000000"/>
          <w:szCs w:val="20"/>
        </w:rPr>
      </w:pPr>
      <w:r>
        <w:rPr>
          <w:rFonts w:eastAsia="Arial" w:cs="Times New Roman"/>
          <w:color w:val="000000"/>
          <w:szCs w:val="20"/>
        </w:rPr>
        <w:t>All subjects for Victorian Certificate of Education (VCE) examinations (secondary schools).</w:t>
      </w:r>
    </w:p>
    <w:p w:rsidR="00ED2B37" w:rsidRDefault="00D83B4B">
      <w:pPr>
        <w:spacing w:before="120" w:after="0" w:line="276" w:lineRule="auto"/>
        <w:rPr>
          <w:rFonts w:eastAsia="Arial" w:cs="Times New Roman"/>
          <w:b/>
          <w:color w:val="000000"/>
          <w:szCs w:val="20"/>
        </w:rPr>
      </w:pPr>
      <w:r>
        <w:rPr>
          <w:rFonts w:eastAsia="Arial" w:cs="Times New Roman"/>
          <w:b/>
          <w:color w:val="000000"/>
          <w:szCs w:val="20"/>
        </w:rPr>
        <w:t>Engagement</w:t>
      </w:r>
    </w:p>
    <w:p w:rsidR="00ED2B37" w:rsidRDefault="00D83B4B">
      <w:pPr>
        <w:numPr>
          <w:ilvl w:val="0"/>
          <w:numId w:val="29"/>
        </w:numPr>
        <w:spacing w:after="0" w:line="276" w:lineRule="auto"/>
        <w:rPr>
          <w:rFonts w:eastAsia="Arial" w:cs="Times New Roman"/>
          <w:color w:val="000000"/>
          <w:szCs w:val="20"/>
        </w:rPr>
      </w:pPr>
      <w:r>
        <w:rPr>
          <w:rFonts w:eastAsia="Arial" w:cs="Times New Roman"/>
          <w:color w:val="000000"/>
          <w:szCs w:val="20"/>
        </w:rPr>
        <w:t>student attendance and engagement at school, including:</w:t>
      </w:r>
    </w:p>
    <w:p w:rsidR="00ED2B37" w:rsidRDefault="00D83B4B">
      <w:pPr>
        <w:numPr>
          <w:ilvl w:val="0"/>
          <w:numId w:val="30"/>
        </w:numPr>
        <w:spacing w:after="0" w:line="276" w:lineRule="auto"/>
        <w:contextualSpacing/>
        <w:rPr>
          <w:rFonts w:eastAsia="Arial" w:cs="Times New Roman"/>
          <w:color w:val="000000"/>
          <w:szCs w:val="20"/>
        </w:rPr>
      </w:pPr>
      <w:r>
        <w:rPr>
          <w:rFonts w:eastAsia="Arial" w:cs="Times New Roman"/>
          <w:color w:val="000000"/>
          <w:szCs w:val="20"/>
        </w:rPr>
        <w:t>how many students leaving school go</w:t>
      </w:r>
      <w:r>
        <w:rPr>
          <w:rFonts w:eastAsia="Arial" w:cs="Times New Roman"/>
          <w:color w:val="000000"/>
          <w:szCs w:val="20"/>
        </w:rPr>
        <w:t xml:space="preserve"> on to further studies or full-time work (secondary, P-12 and specialist schools)</w:t>
      </w:r>
    </w:p>
    <w:p w:rsidR="00ED2B37" w:rsidRDefault="00D83B4B">
      <w:pPr>
        <w:spacing w:before="120" w:after="0" w:line="276" w:lineRule="auto"/>
        <w:rPr>
          <w:rFonts w:eastAsia="Arial" w:cs="Times New Roman"/>
          <w:b/>
          <w:color w:val="000000"/>
          <w:szCs w:val="20"/>
        </w:rPr>
      </w:pPr>
      <w:r>
        <w:rPr>
          <w:rFonts w:eastAsia="Arial" w:cs="Times New Roman"/>
          <w:b/>
          <w:color w:val="000000"/>
          <w:szCs w:val="20"/>
        </w:rPr>
        <w:t>Wellbeing</w:t>
      </w:r>
    </w:p>
    <w:p w:rsidR="00ED2B37" w:rsidRDefault="00D83B4B">
      <w:pPr>
        <w:numPr>
          <w:ilvl w:val="0"/>
          <w:numId w:val="31"/>
        </w:numPr>
        <w:spacing w:after="0" w:line="276" w:lineRule="auto"/>
        <w:rPr>
          <w:rFonts w:eastAsia="Arial" w:cs="Times New Roman"/>
          <w:color w:val="000000"/>
          <w:szCs w:val="20"/>
        </w:rPr>
      </w:pPr>
      <w:r>
        <w:rPr>
          <w:rFonts w:eastAsia="Arial" w:cs="Times New Roman"/>
          <w:color w:val="000000"/>
          <w:szCs w:val="20"/>
        </w:rPr>
        <w:t>Attitudes to School Survey (ATOSS) factors:</w:t>
      </w:r>
    </w:p>
    <w:p w:rsidR="00ED2B37" w:rsidRDefault="00D83B4B">
      <w:pPr>
        <w:numPr>
          <w:ilvl w:val="1"/>
          <w:numId w:val="32"/>
        </w:numPr>
        <w:spacing w:after="0" w:line="276" w:lineRule="auto"/>
        <w:rPr>
          <w:rFonts w:eastAsia="Arial" w:cs="Times New Roman"/>
          <w:color w:val="000000"/>
          <w:szCs w:val="20"/>
        </w:rPr>
      </w:pPr>
      <w:r>
        <w:rPr>
          <w:rFonts w:eastAsia="Arial" w:cs="Times New Roman"/>
          <w:color w:val="000000"/>
          <w:szCs w:val="20"/>
        </w:rPr>
        <w:t>Sense of Connectedness</w:t>
      </w:r>
    </w:p>
    <w:p w:rsidR="00ED2B37" w:rsidRDefault="00D83B4B">
      <w:pPr>
        <w:numPr>
          <w:ilvl w:val="1"/>
          <w:numId w:val="32"/>
        </w:numPr>
        <w:spacing w:after="0" w:line="276" w:lineRule="auto"/>
        <w:rPr>
          <w:rFonts w:eastAsia="Arial" w:cs="Times New Roman"/>
          <w:color w:val="000000"/>
          <w:szCs w:val="20"/>
        </w:rPr>
      </w:pPr>
      <w:r>
        <w:rPr>
          <w:rFonts w:eastAsia="Arial" w:cs="Times New Roman"/>
          <w:color w:val="000000"/>
          <w:szCs w:val="20"/>
        </w:rPr>
        <w:t>Management of Bullying</w:t>
      </w:r>
    </w:p>
    <w:p w:rsidR="00ED2B37" w:rsidRDefault="00D83B4B">
      <w:pPr>
        <w:rPr>
          <w:rFonts w:eastAsia="MS Mincho"/>
        </w:rPr>
      </w:pPr>
      <w:r>
        <w:rPr>
          <w:rFonts w:eastAsia="MS Mincho"/>
        </w:rPr>
        <w:t>Results are displayed for the latest year, as well as the average of the l</w:t>
      </w:r>
      <w:r>
        <w:rPr>
          <w:rFonts w:eastAsia="MS Mincho"/>
        </w:rPr>
        <w:t>ast four years (where available).</w:t>
      </w:r>
    </w:p>
    <w:p w:rsidR="00ED2B37" w:rsidRDefault="00D83B4B">
      <w:pPr>
        <w:rPr>
          <w:rFonts w:eastAsia="MS Gothic" w:cs="Times New Roman"/>
          <w:b/>
          <w:bCs/>
          <w:caps/>
          <w:color w:val="00008B"/>
          <w:sz w:val="20"/>
          <w:szCs w:val="20"/>
          <w:u w:val="single"/>
        </w:rPr>
      </w:pPr>
      <w:r>
        <w:rPr>
          <w:rFonts w:eastAsia="MS Gothic" w:cs="Times New Roman"/>
          <w:b/>
          <w:bCs/>
          <w:caps/>
          <w:color w:val="00008B"/>
          <w:sz w:val="20"/>
          <w:szCs w:val="20"/>
          <w:u w:val="single"/>
        </w:rPr>
        <w:t xml:space="preserve">What does </w:t>
      </w:r>
      <w:r w:rsidRPr="005A2650">
        <w:rPr>
          <w:rFonts w:eastAsia="MS Gothic" w:cs="Times New Roman"/>
          <w:b/>
          <w:bCs/>
          <w:i/>
          <w:caps/>
          <w:color w:val="00008B"/>
          <w:sz w:val="20"/>
          <w:szCs w:val="20"/>
          <w:u w:val="single"/>
        </w:rPr>
        <w:t>SIMILAR School Comparison</w:t>
      </w:r>
      <w:r>
        <w:rPr>
          <w:rFonts w:eastAsia="MS Gothic" w:cs="Times New Roman"/>
          <w:b/>
          <w:bCs/>
          <w:caps/>
          <w:color w:val="00008B"/>
          <w:sz w:val="20"/>
          <w:szCs w:val="20"/>
          <w:u w:val="single"/>
        </w:rPr>
        <w:t xml:space="preserve"> refer to?</w:t>
      </w:r>
    </w:p>
    <w:p w:rsidR="00ED2B37" w:rsidRDefault="00D83B4B">
      <w:pPr>
        <w:rPr>
          <w:rFonts w:eastAsia="MS Mincho"/>
        </w:rPr>
      </w:pPr>
      <w:r>
        <w:rPr>
          <w:rFonts w:eastAsia="Arial"/>
          <w:color w:val="000000"/>
        </w:rPr>
        <w:t>The Similar</w:t>
      </w:r>
      <w:r>
        <w:rPr>
          <w:rFonts w:eastAsia="Arial"/>
          <w:i/>
          <w:color w:val="000000"/>
        </w:rPr>
        <w:t xml:space="preserve"> </w:t>
      </w:r>
      <w:r>
        <w:rPr>
          <w:rFonts w:eastAsia="Arial"/>
          <w:color w:val="000000"/>
        </w:rPr>
        <w:t>School Comparison is a way of comparing this school’s performance to similar schools in Victoria.</w:t>
      </w:r>
    </w:p>
    <w:p w:rsidR="00ED2B37" w:rsidRDefault="00D83B4B">
      <w:pPr>
        <w:rPr>
          <w:rFonts w:eastAsia="Arial"/>
          <w:color w:val="000000"/>
        </w:rPr>
      </w:pPr>
      <w:r>
        <w:rPr>
          <w:rFonts w:eastAsia="Arial"/>
          <w:color w:val="000000"/>
        </w:rPr>
        <w:t>Th</w:t>
      </w:r>
      <w:r>
        <w:rPr>
          <w:rFonts w:eastAsia="Arial"/>
          <w:color w:val="000000"/>
          <w:sz w:val="16"/>
        </w:rPr>
        <w:t>e</w:t>
      </w:r>
      <w:r>
        <w:rPr>
          <w:rFonts w:eastAsia="Arial"/>
          <w:color w:val="000000"/>
        </w:rPr>
        <w:t xml:space="preserve"> comparison measure takes into account the school’s socio-econo</w:t>
      </w:r>
      <w:r>
        <w:rPr>
          <w:rFonts w:eastAsia="Arial"/>
          <w:color w:val="000000"/>
        </w:rPr>
        <w:t>mic background of students, the number of non-English speaking students and the size and location of the school.</w:t>
      </w:r>
    </w:p>
    <w:p w:rsidR="00ED2B37" w:rsidRDefault="00D83B4B">
      <w:pPr>
        <w:spacing w:after="240"/>
      </w:pPr>
      <w:r>
        <w:rPr>
          <w:rFonts w:eastAsia="Arial"/>
          <w:color w:val="000000"/>
        </w:rPr>
        <w:t>The Similar School Comparison</w:t>
      </w:r>
      <w:r>
        <w:rPr>
          <w:rFonts w:eastAsia="Arial"/>
          <w:i/>
          <w:color w:val="000000"/>
        </w:rPr>
        <w:t xml:space="preserve"> </w:t>
      </w:r>
      <w:r>
        <w:rPr>
          <w:rFonts w:eastAsia="Arial"/>
          <w:color w:val="000000"/>
        </w:rPr>
        <w:t>will identify if a school’s result is ‘</w:t>
      </w:r>
      <w:r>
        <w:rPr>
          <w:rFonts w:eastAsia="Arial"/>
          <w:b/>
          <w:color w:val="000000"/>
        </w:rPr>
        <w:t>Similar</w:t>
      </w:r>
      <w:r>
        <w:rPr>
          <w:rFonts w:eastAsia="Arial"/>
          <w:color w:val="000000"/>
        </w:rPr>
        <w:t>’, ‘</w:t>
      </w:r>
      <w:r>
        <w:rPr>
          <w:rFonts w:eastAsia="Arial"/>
          <w:b/>
          <w:color w:val="000000"/>
        </w:rPr>
        <w:t>Above</w:t>
      </w:r>
      <w:r>
        <w:rPr>
          <w:rFonts w:eastAsia="Arial"/>
          <w:color w:val="000000"/>
        </w:rPr>
        <w:t>’, or ‘</w:t>
      </w:r>
      <w:r>
        <w:rPr>
          <w:rFonts w:eastAsia="Arial"/>
          <w:b/>
          <w:color w:val="000000"/>
        </w:rPr>
        <w:t>Below</w:t>
      </w:r>
      <w:r>
        <w:rPr>
          <w:rFonts w:eastAsia="Arial"/>
          <w:color w:val="000000"/>
        </w:rPr>
        <w:t xml:space="preserve">’ relative to the similar schools group with </w:t>
      </w:r>
      <w:r>
        <w:rPr>
          <w:rFonts w:eastAsia="Arial"/>
          <w:color w:val="000000"/>
        </w:rPr>
        <w:t>similar characteristics and is available for latest year data only.</w:t>
      </w:r>
    </w:p>
    <w:p w:rsidR="00ED2B37" w:rsidRDefault="00D83B4B">
      <w:pPr>
        <w:rPr>
          <w:rFonts w:eastAsia="MS Gothic" w:cs="Times New Roman"/>
          <w:b/>
          <w:bCs/>
          <w:caps/>
          <w:color w:val="00008B"/>
          <w:sz w:val="20"/>
          <w:szCs w:val="20"/>
          <w:u w:val="single"/>
        </w:rPr>
      </w:pPr>
      <w:r>
        <w:rPr>
          <w:rFonts w:eastAsia="MS Gothic" w:cs="Times New Roman"/>
          <w:b/>
          <w:bCs/>
          <w:caps/>
          <w:color w:val="00008B"/>
          <w:sz w:val="20"/>
          <w:szCs w:val="20"/>
          <w:u w:val="single"/>
        </w:rPr>
        <w:t>What does ‘</w:t>
      </w:r>
      <w:r w:rsidRPr="005A2650">
        <w:rPr>
          <w:rFonts w:eastAsia="MS Gothic" w:cs="Times New Roman"/>
          <w:b/>
          <w:bCs/>
          <w:i/>
          <w:caps/>
          <w:color w:val="00008B"/>
          <w:sz w:val="20"/>
          <w:szCs w:val="20"/>
          <w:u w:val="single"/>
        </w:rPr>
        <w:t>Data not available</w:t>
      </w:r>
      <w:r>
        <w:rPr>
          <w:rFonts w:eastAsia="MS Gothic" w:cs="Times New Roman"/>
          <w:b/>
          <w:bCs/>
          <w:caps/>
          <w:color w:val="00008B"/>
          <w:sz w:val="20"/>
          <w:szCs w:val="20"/>
          <w:u w:val="single"/>
        </w:rPr>
        <w:t>’ or ‘</w:t>
      </w:r>
      <w:r w:rsidRPr="005A2650">
        <w:rPr>
          <w:rFonts w:eastAsia="MS Gothic" w:cs="Times New Roman"/>
          <w:b/>
          <w:bCs/>
          <w:i/>
          <w:caps/>
          <w:color w:val="00008B"/>
          <w:sz w:val="20"/>
          <w:szCs w:val="20"/>
          <w:u w:val="single"/>
        </w:rPr>
        <w:t>np</w:t>
      </w:r>
      <w:r>
        <w:rPr>
          <w:rFonts w:eastAsia="MS Gothic" w:cs="Times New Roman"/>
          <w:b/>
          <w:bCs/>
          <w:caps/>
          <w:color w:val="00008B"/>
          <w:sz w:val="20"/>
          <w:szCs w:val="20"/>
          <w:u w:val="single"/>
        </w:rPr>
        <w:t>’ mean?</w:t>
      </w:r>
    </w:p>
    <w:p w:rsidR="00ED2B37" w:rsidRDefault="00D83B4B">
      <w:pPr>
        <w:spacing w:line="240" w:lineRule="auto"/>
        <w:rPr>
          <w:rFonts w:eastAsia="Arial" w:cs="Times New Roman"/>
          <w:color w:val="000000"/>
          <w:szCs w:val="20"/>
        </w:rPr>
      </w:pPr>
      <w:r>
        <w:rPr>
          <w:rFonts w:eastAsia="Arial" w:cs="Times New Roman"/>
          <w:color w:val="000000"/>
          <w:szCs w:val="20"/>
        </w:rPr>
        <w:t>Some schools have too few students enrolled to provide data. There may be no students enrolled in some year levels so school comparisons are no</w:t>
      </w:r>
      <w:r>
        <w:rPr>
          <w:rFonts w:eastAsia="Arial" w:cs="Times New Roman"/>
          <w:color w:val="000000"/>
          <w:szCs w:val="20"/>
        </w:rPr>
        <w:t xml:space="preserve">t possible. </w:t>
      </w:r>
    </w:p>
    <w:p w:rsidR="00ED2B37" w:rsidRDefault="00D83B4B">
      <w:pPr>
        <w:spacing w:line="240" w:lineRule="auto"/>
        <w:rPr>
          <w:rFonts w:eastAsia="Arial" w:cs="Times New Roman"/>
          <w:color w:val="000000"/>
          <w:szCs w:val="20"/>
        </w:rPr>
      </w:pPr>
      <w:r>
        <w:rPr>
          <w:rFonts w:eastAsia="Arial" w:cs="Times New Roman"/>
          <w:color w:val="000000"/>
          <w:szCs w:val="20"/>
        </w:rPr>
        <w:t xml:space="preserve">New schools have only the latest year of data and no comparative data from previous years. </w:t>
      </w:r>
    </w:p>
    <w:p w:rsidR="00ED2B37" w:rsidRDefault="00D83B4B">
      <w:pPr>
        <w:spacing w:line="240" w:lineRule="auto"/>
        <w:rPr>
          <w:rFonts w:eastAsia="MS Mincho"/>
        </w:rPr>
      </w:pPr>
      <w:r>
        <w:rPr>
          <w:rFonts w:eastAsia="Arial" w:cs="Times New Roman"/>
          <w:color w:val="000000"/>
          <w:szCs w:val="20"/>
        </w:rPr>
        <w:t>The Department also recognises unique circumstances in Specialist, Select Entry, English Language</w:t>
      </w:r>
      <w:r>
        <w:rPr>
          <w:rFonts w:eastAsia="Arial" w:cs="Times New Roman"/>
          <w:color w:val="000000"/>
          <w:szCs w:val="20"/>
        </w:rPr>
        <w:t>,</w:t>
      </w:r>
      <w:r>
        <w:rPr>
          <w:rFonts w:eastAsia="Arial" w:cs="Times New Roman"/>
          <w:color w:val="000000"/>
          <w:szCs w:val="20"/>
        </w:rPr>
        <w:t xml:space="preserve"> Community Schools</w:t>
      </w:r>
      <w:r>
        <w:rPr>
          <w:rFonts w:eastAsia="Arial" w:cs="Times New Roman"/>
          <w:color w:val="000000"/>
          <w:szCs w:val="20"/>
        </w:rPr>
        <w:t xml:space="preserve"> and schools that changed school type recently,</w:t>
      </w:r>
      <w:r>
        <w:rPr>
          <w:rFonts w:eastAsia="Arial" w:cs="Times New Roman"/>
          <w:color w:val="000000"/>
          <w:szCs w:val="20"/>
        </w:rPr>
        <w:t xml:space="preserve"> where </w:t>
      </w:r>
      <w:r>
        <w:rPr>
          <w:rFonts w:eastAsia="MS Mincho"/>
        </w:rPr>
        <w:t>school-to-school comparisons are not appropriate.</w:t>
      </w:r>
    </w:p>
    <w:p w:rsidR="00ED2B37" w:rsidRDefault="00D83B4B">
      <w:pPr>
        <w:rPr>
          <w:rFonts w:eastAsia="MS Gothic" w:cs="Times New Roman"/>
          <w:b/>
          <w:bCs/>
          <w:caps/>
          <w:color w:val="00008B"/>
          <w:sz w:val="20"/>
          <w:szCs w:val="20"/>
          <w:u w:val="single"/>
        </w:rPr>
      </w:pPr>
      <w:r>
        <w:rPr>
          <w:rFonts w:eastAsia="MS Gothic" w:cs="Times New Roman"/>
          <w:b/>
          <w:bCs/>
          <w:caps/>
          <w:color w:val="00008B"/>
          <w:sz w:val="20"/>
          <w:szCs w:val="20"/>
          <w:u w:val="single"/>
        </w:rPr>
        <w:t xml:space="preserve">What is the </w:t>
      </w:r>
      <w:r w:rsidRPr="005A2650">
        <w:rPr>
          <w:rFonts w:eastAsia="MS Gothic" w:cs="Times New Roman"/>
          <w:b/>
          <w:bCs/>
          <w:i/>
          <w:caps/>
          <w:color w:val="00008B"/>
          <w:sz w:val="20"/>
          <w:szCs w:val="20"/>
          <w:u w:val="single"/>
        </w:rPr>
        <w:t>Victorian Curriculum</w:t>
      </w:r>
      <w:r>
        <w:rPr>
          <w:rFonts w:eastAsia="MS Gothic" w:cs="Times New Roman"/>
          <w:b/>
          <w:bCs/>
          <w:caps/>
          <w:color w:val="00008B"/>
          <w:sz w:val="20"/>
          <w:szCs w:val="20"/>
          <w:u w:val="single"/>
        </w:rPr>
        <w:t>?</w:t>
      </w:r>
    </w:p>
    <w:p w:rsidR="00ED2B37" w:rsidRDefault="00D83B4B">
      <w:pPr>
        <w:spacing w:line="240" w:lineRule="auto"/>
        <w:rPr>
          <w:rFonts w:eastAsia="Arial"/>
          <w:color w:val="000000"/>
        </w:rPr>
      </w:pPr>
      <w:r>
        <w:rPr>
          <w:rFonts w:eastAsia="Arial"/>
          <w:color w:val="000000"/>
        </w:rPr>
        <w:t>The Victorian Curriculum F–10 sets out what every student should learn during his or her first eleven years of schooli</w:t>
      </w:r>
      <w:r>
        <w:rPr>
          <w:rFonts w:eastAsia="Arial"/>
          <w:color w:val="000000"/>
        </w:rPr>
        <w:t xml:space="preserve">ng. The curriculum is the common set of knowledge and skills required by students for life-long learning, social development and active and informed citizenship. </w:t>
      </w:r>
    </w:p>
    <w:p w:rsidR="00ED2B37" w:rsidRDefault="00D83B4B">
      <w:pPr>
        <w:spacing w:line="240" w:lineRule="auto"/>
        <w:rPr>
          <w:rFonts w:eastAsia="MS Mincho"/>
        </w:rPr>
      </w:pPr>
      <w:r>
        <w:rPr>
          <w:rFonts w:eastAsia="Arial"/>
          <w:color w:val="000000"/>
        </w:rPr>
        <w:t>The curriculum has been developed to ensure that school subjects and their achievement standa</w:t>
      </w:r>
      <w:r>
        <w:rPr>
          <w:rFonts w:eastAsia="Arial"/>
          <w:color w:val="000000"/>
        </w:rPr>
        <w:t>rds enable continuous learning for all students, including students with disabilities.</w:t>
      </w:r>
    </w:p>
    <w:p w:rsidR="00ED2B37" w:rsidRDefault="00D83B4B">
      <w:pPr>
        <w:spacing w:line="240" w:lineRule="auto"/>
        <w:rPr>
          <w:rFonts w:eastAsia="Arial"/>
          <w:color w:val="000000"/>
        </w:rPr>
      </w:pPr>
      <w:r>
        <w:rPr>
          <w:rFonts w:eastAsia="Arial"/>
          <w:color w:val="000000"/>
        </w:rPr>
        <w:t>The ‘Towards Foundation Level Victorian Curriculum’ is integrated directly into the curriculum and is referred to as ‘Levels A to D’.</w:t>
      </w:r>
    </w:p>
    <w:p w:rsidR="00ED2B37" w:rsidRDefault="00D83B4B">
      <w:pPr>
        <w:spacing w:line="240" w:lineRule="auto"/>
        <w:rPr>
          <w:rFonts w:eastAsia="Arial"/>
          <w:color w:val="000000"/>
        </w:rPr>
      </w:pPr>
      <w:r>
        <w:rPr>
          <w:rFonts w:eastAsia="Arial"/>
          <w:color w:val="000000"/>
        </w:rPr>
        <w:t>‘Levels A to D’ may be used for stu</w:t>
      </w:r>
      <w:r>
        <w:rPr>
          <w:rFonts w:eastAsia="Arial"/>
          <w:color w:val="000000"/>
        </w:rPr>
        <w:t>dents with a disability or students who may have additional learning needs.</w:t>
      </w:r>
    </w:p>
    <w:p w:rsidR="00ED2B37" w:rsidRDefault="00D83B4B">
      <w:pPr>
        <w:spacing w:line="240" w:lineRule="auto"/>
        <w:rPr>
          <w:i/>
        </w:rPr>
      </w:pPr>
      <w:r>
        <w:rPr>
          <w:rFonts w:eastAsia="Arial"/>
          <w:color w:val="000000"/>
        </w:rPr>
        <w:t>‘Levels A to D’ are not associated with any set age or year level that links chronological age to cognitive progress (i.e. there is no age expected standard of achievement for ‘Lev</w:t>
      </w:r>
      <w:r>
        <w:rPr>
          <w:rFonts w:eastAsia="Arial"/>
          <w:color w:val="000000"/>
        </w:rPr>
        <w:t>els A to D’).</w:t>
      </w:r>
    </w:p>
    <w:sectPr w:rsidR="00ED2B37">
      <w:headerReference w:type="default" r:id="rId27"/>
      <w:footerReference w:type="default" r:id="rId28"/>
      <w:headerReference w:type="first" r:id="rId29"/>
      <w:pgSz w:w="11900" w:h="16840"/>
      <w:pgMar w:top="1418" w:right="567" w:bottom="851" w:left="567" w:header="284" w:footer="46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83B4B">
      <w:pPr>
        <w:spacing w:after="0" w:line="240" w:lineRule="auto"/>
      </w:pPr>
      <w:r>
        <w:separator/>
      </w:r>
    </w:p>
  </w:endnote>
  <w:endnote w:type="continuationSeparator" w:id="0">
    <w:p w:rsidR="00000000" w:rsidRDefault="00D83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D83B4B"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76DE" w:rsidRDefault="00D83B4B"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Pr="003E29B5" w:rsidRDefault="00D83B4B"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Pr="007839E6" w:rsidRDefault="00D83B4B" w:rsidP="00362A9C">
    <w:pPr>
      <w:pStyle w:val="ESImageorGraphTitle"/>
      <w:rPr>
        <w:b w:val="0"/>
        <w:sz w:val="15"/>
        <w:szCs w:val="15"/>
      </w:rPr>
    </w:pPr>
    <w:r w:rsidRPr="007839E6">
      <w:rPr>
        <w:b w:val="0"/>
        <w:noProof/>
        <w:sz w:val="15"/>
        <w:szCs w:val="15"/>
      </w:rPr>
      <w:t>Valkstone Primary School (4778)</w:t>
    </w:r>
    <w:r w:rsidRPr="007839E6">
      <w:rPr>
        <w:b w:val="0"/>
        <w:noProof/>
        <w:sz w:val="15"/>
        <w:szCs w:val="15"/>
        <w:lang w:val="en-AU" w:eastAsia="en-AU"/>
      </w:rPr>
      <w:drawing>
        <wp:anchor distT="0" distB="0" distL="114300" distR="114300" simplePos="0" relativeHeight="251676672"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B576DE" w:rsidRPr="007B2B29" w:rsidRDefault="00D83B4B"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4</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928465"/>
      <w:docPartObj>
        <w:docPartGallery w:val="Page Numbers (Bottom of Page)"/>
        <w:docPartUnique/>
      </w:docPartObj>
    </w:sdtPr>
    <w:sdtEndPr>
      <w:rPr>
        <w:noProof/>
      </w:rPr>
    </w:sdtEndPr>
    <w:sdtContent>
      <w:p w:rsidR="00ED2B37" w:rsidRDefault="00D83B4B">
        <w:pPr>
          <w:pStyle w:val="Footer"/>
          <w:jc w:val="right"/>
        </w:pPr>
        <w:r>
          <w:fldChar w:fldCharType="begin"/>
        </w:r>
        <w:r>
          <w:instrText xml:space="preserve"> PAGE   \* MERGEFORMAT </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83B4B">
      <w:pPr>
        <w:spacing w:after="0" w:line="240" w:lineRule="auto"/>
      </w:pPr>
      <w:r>
        <w:separator/>
      </w:r>
    </w:p>
  </w:footnote>
  <w:footnote w:type="continuationSeparator" w:id="0">
    <w:p w:rsidR="00000000" w:rsidRDefault="00D83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D83B4B">
    <w:r>
      <w:rPr>
        <w:noProof/>
        <w:lang w:val="en-AU" w:eastAsia="en-AU"/>
      </w:rP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B576DE" w:rsidRDefault="00D83B4B"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B576DE"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0pt;height:180pt;rotation:-40;z-index:251658240;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D83B4B">
    <w:pPr>
      <w:pStyle w:val="Header"/>
    </w:pPr>
    <w:r w:rsidRPr="000C104E">
      <w:rPr>
        <w:noProof/>
        <w:lang w:val="en-AU" w:eastAsia="en-AU"/>
      </w:rPr>
      <w:drawing>
        <wp:anchor distT="0" distB="0" distL="114300" distR="114300" simplePos="0" relativeHeight="251674624"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B576DE" w:rsidRDefault="00D83B4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D83B4B">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B576DE" w:rsidRDefault="00D83B4B"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B576DE"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00pt;height:180pt;rotation:-40;z-index:251661312;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D83B4B">
    <w:r>
      <w:rPr>
        <w:noProof/>
        <w:lang w:val="en-AU" w:eastAsia="en-AU"/>
      </w:rPr>
      <mc:AlternateContent>
        <mc:Choice Requires="wps">
          <w:drawing>
            <wp:anchor distT="0" distB="0" distL="114300" distR="114300" simplePos="0" relativeHeight="25167257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B576DE" w:rsidRDefault="00D83B4B"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3600" filled="f" stroked="f">
              <o:lock v:ext="edit" shapetype="t"/>
              <v:textbox style="mso-fit-shape-to-text:t">
                <w:txbxContent>
                  <w:p w:rsidR="00B576D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00pt;height:180pt;rotation:-40;z-index:251662336;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Pr="00FE3A95" w:rsidRDefault="00D83B4B" w:rsidP="00FE3A95">
    <w:pPr>
      <w:jc w:val="right"/>
      <w:rPr>
        <w:sz w:val="22"/>
        <w:szCs w:val="22"/>
      </w:rPr>
    </w:pPr>
    <w:r w:rsidRPr="00FE3A95">
      <w:rPr>
        <w:noProof/>
        <w:sz w:val="22"/>
        <w:szCs w:val="22"/>
      </w:rPr>
      <w:t>Valkstone Primary School (4778)</w:t>
    </w:r>
    <w:r w:rsidRPr="00FE3A95">
      <w:rPr>
        <w:noProof/>
        <w:sz w:val="22"/>
        <w:szCs w:val="22"/>
        <w:lang w:val="en-AU" w:eastAsia="en-AU"/>
      </w:rPr>
      <w:drawing>
        <wp:anchor distT="0" distB="0" distL="114300" distR="114300" simplePos="0" relativeHeight="251675648"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DE" w:rsidRDefault="00D83B4B">
    <w:r>
      <w:rPr>
        <w:noProof/>
        <w:lang w:val="en-AU" w:eastAsia="en-AU"/>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B576DE" w:rsidRDefault="00D83B4B"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57"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1552" filled="f" stroked="f">
              <o:lock v:ext="edit" shapetype="t"/>
              <v:textbox style="mso-fit-shape-to-text:t">
                <w:txbxContent>
                  <w:p w:rsidR="00B576D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00pt;height:180pt;rotation:-40;z-index:251664384;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B37" w:rsidRDefault="00D83B4B">
    <w:pPr>
      <w:pStyle w:val="Header"/>
      <w:spacing w:before="240"/>
    </w:pPr>
    <w:r>
      <w:rPr>
        <w:noProof/>
        <w:lang w:val="en-AU" w:eastAsia="en-AU"/>
      </w:rPr>
      <w:drawing>
        <wp:inline distT="0" distB="0" distL="0" distR="0">
          <wp:extent cx="1471910" cy="512445"/>
          <wp:effectExtent l="0" t="0" r="0" b="1905"/>
          <wp:docPr id="389778357"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Valkstone Primary School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B37" w:rsidRDefault="00D83B4B">
    <w:pPr>
      <w:pStyle w:val="Header"/>
      <w:ind w:left="-993"/>
    </w:pPr>
    <w:r>
      <w:ptab w:relativeTo="margin" w:alignment="left" w:leader="none"/>
    </w:r>
  </w:p>
  <w:p w:rsidR="00ED2B37" w:rsidRDefault="00D83B4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500pt;height:180pt;rotation:-40;z-index:251666432;mso-position-horizontal:center;mso-position-horizontal-relative:page;mso-position-vertical:center;mso-position-vertical-relative:page" fillcolor="#d3d3d3" strokecolor="#d3d3d3">
          <v:textpath style="font-family:&quot;Arial&quot;" string="Draft"/>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411C5B7A">
      <w:start w:val="1"/>
      <w:numFmt w:val="bullet"/>
      <w:lvlText w:val=""/>
      <w:lvlJc w:val="left"/>
      <w:pPr>
        <w:ind w:left="720" w:hanging="360"/>
      </w:pPr>
      <w:rPr>
        <w:rFonts w:ascii="Symbol" w:hAnsi="Symbol" w:hint="default"/>
      </w:rPr>
    </w:lvl>
    <w:lvl w:ilvl="1" w:tplc="E9FC3046" w:tentative="1">
      <w:start w:val="1"/>
      <w:numFmt w:val="bullet"/>
      <w:lvlText w:val="o"/>
      <w:lvlJc w:val="left"/>
      <w:pPr>
        <w:ind w:left="1440" w:hanging="360"/>
      </w:pPr>
      <w:rPr>
        <w:rFonts w:ascii="Courier New" w:hAnsi="Courier New" w:cs="Courier New" w:hint="default"/>
      </w:rPr>
    </w:lvl>
    <w:lvl w:ilvl="2" w:tplc="3FDEB7BA" w:tentative="1">
      <w:start w:val="1"/>
      <w:numFmt w:val="bullet"/>
      <w:lvlText w:val=""/>
      <w:lvlJc w:val="left"/>
      <w:pPr>
        <w:ind w:left="2160" w:hanging="360"/>
      </w:pPr>
      <w:rPr>
        <w:rFonts w:ascii="Wingdings" w:hAnsi="Wingdings" w:hint="default"/>
      </w:rPr>
    </w:lvl>
    <w:lvl w:ilvl="3" w:tplc="0F8A71C4" w:tentative="1">
      <w:start w:val="1"/>
      <w:numFmt w:val="bullet"/>
      <w:lvlText w:val=""/>
      <w:lvlJc w:val="left"/>
      <w:pPr>
        <w:ind w:left="2880" w:hanging="360"/>
      </w:pPr>
      <w:rPr>
        <w:rFonts w:ascii="Symbol" w:hAnsi="Symbol" w:hint="default"/>
      </w:rPr>
    </w:lvl>
    <w:lvl w:ilvl="4" w:tplc="CEA426BA" w:tentative="1">
      <w:start w:val="1"/>
      <w:numFmt w:val="bullet"/>
      <w:lvlText w:val="o"/>
      <w:lvlJc w:val="left"/>
      <w:pPr>
        <w:ind w:left="3600" w:hanging="360"/>
      </w:pPr>
      <w:rPr>
        <w:rFonts w:ascii="Courier New" w:hAnsi="Courier New" w:cs="Courier New" w:hint="default"/>
      </w:rPr>
    </w:lvl>
    <w:lvl w:ilvl="5" w:tplc="FACAE036" w:tentative="1">
      <w:start w:val="1"/>
      <w:numFmt w:val="bullet"/>
      <w:lvlText w:val=""/>
      <w:lvlJc w:val="left"/>
      <w:pPr>
        <w:ind w:left="4320" w:hanging="360"/>
      </w:pPr>
      <w:rPr>
        <w:rFonts w:ascii="Wingdings" w:hAnsi="Wingdings" w:hint="default"/>
      </w:rPr>
    </w:lvl>
    <w:lvl w:ilvl="6" w:tplc="27D811E4" w:tentative="1">
      <w:start w:val="1"/>
      <w:numFmt w:val="bullet"/>
      <w:lvlText w:val=""/>
      <w:lvlJc w:val="left"/>
      <w:pPr>
        <w:ind w:left="5040" w:hanging="360"/>
      </w:pPr>
      <w:rPr>
        <w:rFonts w:ascii="Symbol" w:hAnsi="Symbol" w:hint="default"/>
      </w:rPr>
    </w:lvl>
    <w:lvl w:ilvl="7" w:tplc="DAD4A594" w:tentative="1">
      <w:start w:val="1"/>
      <w:numFmt w:val="bullet"/>
      <w:lvlText w:val="o"/>
      <w:lvlJc w:val="left"/>
      <w:pPr>
        <w:ind w:left="5760" w:hanging="360"/>
      </w:pPr>
      <w:rPr>
        <w:rFonts w:ascii="Courier New" w:hAnsi="Courier New" w:cs="Courier New" w:hint="default"/>
      </w:rPr>
    </w:lvl>
    <w:lvl w:ilvl="8" w:tplc="A5E24BB0"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EDEC0ECE">
      <w:start w:val="1"/>
      <w:numFmt w:val="bullet"/>
      <w:lvlText w:val=""/>
      <w:lvlJc w:val="left"/>
      <w:pPr>
        <w:ind w:left="720" w:hanging="360"/>
      </w:pPr>
      <w:rPr>
        <w:rFonts w:ascii="Symbol" w:hAnsi="Symbol" w:hint="default"/>
      </w:rPr>
    </w:lvl>
    <w:lvl w:ilvl="1" w:tplc="6F58E68E" w:tentative="1">
      <w:start w:val="1"/>
      <w:numFmt w:val="bullet"/>
      <w:lvlText w:val="o"/>
      <w:lvlJc w:val="left"/>
      <w:pPr>
        <w:ind w:left="1440" w:hanging="360"/>
      </w:pPr>
      <w:rPr>
        <w:rFonts w:ascii="Courier New" w:hAnsi="Courier New" w:cs="Courier New" w:hint="default"/>
      </w:rPr>
    </w:lvl>
    <w:lvl w:ilvl="2" w:tplc="93D28324" w:tentative="1">
      <w:start w:val="1"/>
      <w:numFmt w:val="bullet"/>
      <w:lvlText w:val=""/>
      <w:lvlJc w:val="left"/>
      <w:pPr>
        <w:ind w:left="2160" w:hanging="360"/>
      </w:pPr>
      <w:rPr>
        <w:rFonts w:ascii="Wingdings" w:hAnsi="Wingdings" w:hint="default"/>
      </w:rPr>
    </w:lvl>
    <w:lvl w:ilvl="3" w:tplc="9F8EBCFA" w:tentative="1">
      <w:start w:val="1"/>
      <w:numFmt w:val="bullet"/>
      <w:lvlText w:val=""/>
      <w:lvlJc w:val="left"/>
      <w:pPr>
        <w:ind w:left="2880" w:hanging="360"/>
      </w:pPr>
      <w:rPr>
        <w:rFonts w:ascii="Symbol" w:hAnsi="Symbol" w:hint="default"/>
      </w:rPr>
    </w:lvl>
    <w:lvl w:ilvl="4" w:tplc="3308123C" w:tentative="1">
      <w:start w:val="1"/>
      <w:numFmt w:val="bullet"/>
      <w:lvlText w:val="o"/>
      <w:lvlJc w:val="left"/>
      <w:pPr>
        <w:ind w:left="3600" w:hanging="360"/>
      </w:pPr>
      <w:rPr>
        <w:rFonts w:ascii="Courier New" w:hAnsi="Courier New" w:cs="Courier New" w:hint="default"/>
      </w:rPr>
    </w:lvl>
    <w:lvl w:ilvl="5" w:tplc="E5605AE8" w:tentative="1">
      <w:start w:val="1"/>
      <w:numFmt w:val="bullet"/>
      <w:lvlText w:val=""/>
      <w:lvlJc w:val="left"/>
      <w:pPr>
        <w:ind w:left="4320" w:hanging="360"/>
      </w:pPr>
      <w:rPr>
        <w:rFonts w:ascii="Wingdings" w:hAnsi="Wingdings" w:hint="default"/>
      </w:rPr>
    </w:lvl>
    <w:lvl w:ilvl="6" w:tplc="0E0EB01E" w:tentative="1">
      <w:start w:val="1"/>
      <w:numFmt w:val="bullet"/>
      <w:lvlText w:val=""/>
      <w:lvlJc w:val="left"/>
      <w:pPr>
        <w:ind w:left="5040" w:hanging="360"/>
      </w:pPr>
      <w:rPr>
        <w:rFonts w:ascii="Symbol" w:hAnsi="Symbol" w:hint="default"/>
      </w:rPr>
    </w:lvl>
    <w:lvl w:ilvl="7" w:tplc="1AAA4D92" w:tentative="1">
      <w:start w:val="1"/>
      <w:numFmt w:val="bullet"/>
      <w:lvlText w:val="o"/>
      <w:lvlJc w:val="left"/>
      <w:pPr>
        <w:ind w:left="5760" w:hanging="360"/>
      </w:pPr>
      <w:rPr>
        <w:rFonts w:ascii="Courier New" w:hAnsi="Courier New" w:cs="Courier New" w:hint="default"/>
      </w:rPr>
    </w:lvl>
    <w:lvl w:ilvl="8" w:tplc="69707334"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46940808">
      <w:start w:val="1"/>
      <w:numFmt w:val="bullet"/>
      <w:pStyle w:val="ESBulletsinTable"/>
      <w:lvlText w:val=""/>
      <w:lvlJc w:val="left"/>
      <w:pPr>
        <w:ind w:left="360" w:hanging="360"/>
      </w:pPr>
      <w:rPr>
        <w:rFonts w:ascii="Symbol" w:hAnsi="Symbol" w:hint="default"/>
        <w:color w:val="AF272F"/>
      </w:rPr>
    </w:lvl>
    <w:lvl w:ilvl="1" w:tplc="9BFEF362">
      <w:start w:val="1"/>
      <w:numFmt w:val="bullet"/>
      <w:pStyle w:val="ESBulletsinTableLevel2"/>
      <w:lvlText w:val="o"/>
      <w:lvlJc w:val="left"/>
      <w:pPr>
        <w:ind w:left="1440" w:hanging="360"/>
      </w:pPr>
      <w:rPr>
        <w:rFonts w:ascii="Courier New" w:hAnsi="Courier New" w:cs="Courier New" w:hint="default"/>
      </w:rPr>
    </w:lvl>
    <w:lvl w:ilvl="2" w:tplc="848A2D68" w:tentative="1">
      <w:start w:val="1"/>
      <w:numFmt w:val="bullet"/>
      <w:lvlText w:val=""/>
      <w:lvlJc w:val="left"/>
      <w:pPr>
        <w:ind w:left="2160" w:hanging="360"/>
      </w:pPr>
      <w:rPr>
        <w:rFonts w:ascii="Wingdings" w:hAnsi="Wingdings" w:hint="default"/>
      </w:rPr>
    </w:lvl>
    <w:lvl w:ilvl="3" w:tplc="64B053A4" w:tentative="1">
      <w:start w:val="1"/>
      <w:numFmt w:val="bullet"/>
      <w:lvlText w:val=""/>
      <w:lvlJc w:val="left"/>
      <w:pPr>
        <w:ind w:left="2880" w:hanging="360"/>
      </w:pPr>
      <w:rPr>
        <w:rFonts w:ascii="Symbol" w:hAnsi="Symbol" w:hint="default"/>
      </w:rPr>
    </w:lvl>
    <w:lvl w:ilvl="4" w:tplc="2332B3F8" w:tentative="1">
      <w:start w:val="1"/>
      <w:numFmt w:val="bullet"/>
      <w:lvlText w:val="o"/>
      <w:lvlJc w:val="left"/>
      <w:pPr>
        <w:ind w:left="3600" w:hanging="360"/>
      </w:pPr>
      <w:rPr>
        <w:rFonts w:ascii="Courier New" w:hAnsi="Courier New" w:cs="Courier New" w:hint="default"/>
      </w:rPr>
    </w:lvl>
    <w:lvl w:ilvl="5" w:tplc="B9045D88" w:tentative="1">
      <w:start w:val="1"/>
      <w:numFmt w:val="bullet"/>
      <w:lvlText w:val=""/>
      <w:lvlJc w:val="left"/>
      <w:pPr>
        <w:ind w:left="4320" w:hanging="360"/>
      </w:pPr>
      <w:rPr>
        <w:rFonts w:ascii="Wingdings" w:hAnsi="Wingdings" w:hint="default"/>
      </w:rPr>
    </w:lvl>
    <w:lvl w:ilvl="6" w:tplc="7E38A068" w:tentative="1">
      <w:start w:val="1"/>
      <w:numFmt w:val="bullet"/>
      <w:lvlText w:val=""/>
      <w:lvlJc w:val="left"/>
      <w:pPr>
        <w:ind w:left="5040" w:hanging="360"/>
      </w:pPr>
      <w:rPr>
        <w:rFonts w:ascii="Symbol" w:hAnsi="Symbol" w:hint="default"/>
      </w:rPr>
    </w:lvl>
    <w:lvl w:ilvl="7" w:tplc="3F68FC60" w:tentative="1">
      <w:start w:val="1"/>
      <w:numFmt w:val="bullet"/>
      <w:lvlText w:val="o"/>
      <w:lvlJc w:val="left"/>
      <w:pPr>
        <w:ind w:left="5760" w:hanging="360"/>
      </w:pPr>
      <w:rPr>
        <w:rFonts w:ascii="Courier New" w:hAnsi="Courier New" w:cs="Courier New" w:hint="default"/>
      </w:rPr>
    </w:lvl>
    <w:lvl w:ilvl="8" w:tplc="B518DA7C"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7924CD78">
      <w:start w:val="1"/>
      <w:numFmt w:val="bullet"/>
      <w:lvlText w:val=""/>
      <w:lvlJc w:val="left"/>
      <w:pPr>
        <w:ind w:left="720" w:hanging="360"/>
      </w:pPr>
      <w:rPr>
        <w:rFonts w:ascii="Symbol" w:hAnsi="Symbol" w:hint="default"/>
      </w:rPr>
    </w:lvl>
    <w:lvl w:ilvl="1" w:tplc="1F16DCF8" w:tentative="1">
      <w:start w:val="1"/>
      <w:numFmt w:val="bullet"/>
      <w:lvlText w:val="o"/>
      <w:lvlJc w:val="left"/>
      <w:pPr>
        <w:ind w:left="1440" w:hanging="360"/>
      </w:pPr>
      <w:rPr>
        <w:rFonts w:ascii="Courier New" w:hAnsi="Courier New" w:cs="Courier New" w:hint="default"/>
      </w:rPr>
    </w:lvl>
    <w:lvl w:ilvl="2" w:tplc="C4D26938" w:tentative="1">
      <w:start w:val="1"/>
      <w:numFmt w:val="bullet"/>
      <w:lvlText w:val=""/>
      <w:lvlJc w:val="left"/>
      <w:pPr>
        <w:ind w:left="2160" w:hanging="360"/>
      </w:pPr>
      <w:rPr>
        <w:rFonts w:ascii="Wingdings" w:hAnsi="Wingdings" w:hint="default"/>
      </w:rPr>
    </w:lvl>
    <w:lvl w:ilvl="3" w:tplc="2610BC8C" w:tentative="1">
      <w:start w:val="1"/>
      <w:numFmt w:val="bullet"/>
      <w:lvlText w:val=""/>
      <w:lvlJc w:val="left"/>
      <w:pPr>
        <w:ind w:left="2880" w:hanging="360"/>
      </w:pPr>
      <w:rPr>
        <w:rFonts w:ascii="Symbol" w:hAnsi="Symbol" w:hint="default"/>
      </w:rPr>
    </w:lvl>
    <w:lvl w:ilvl="4" w:tplc="EAB234B0" w:tentative="1">
      <w:start w:val="1"/>
      <w:numFmt w:val="bullet"/>
      <w:lvlText w:val="o"/>
      <w:lvlJc w:val="left"/>
      <w:pPr>
        <w:ind w:left="3600" w:hanging="360"/>
      </w:pPr>
      <w:rPr>
        <w:rFonts w:ascii="Courier New" w:hAnsi="Courier New" w:cs="Courier New" w:hint="default"/>
      </w:rPr>
    </w:lvl>
    <w:lvl w:ilvl="5" w:tplc="BBFC6AE0" w:tentative="1">
      <w:start w:val="1"/>
      <w:numFmt w:val="bullet"/>
      <w:lvlText w:val=""/>
      <w:lvlJc w:val="left"/>
      <w:pPr>
        <w:ind w:left="4320" w:hanging="360"/>
      </w:pPr>
      <w:rPr>
        <w:rFonts w:ascii="Wingdings" w:hAnsi="Wingdings" w:hint="default"/>
      </w:rPr>
    </w:lvl>
    <w:lvl w:ilvl="6" w:tplc="74320AF8" w:tentative="1">
      <w:start w:val="1"/>
      <w:numFmt w:val="bullet"/>
      <w:lvlText w:val=""/>
      <w:lvlJc w:val="left"/>
      <w:pPr>
        <w:ind w:left="5040" w:hanging="360"/>
      </w:pPr>
      <w:rPr>
        <w:rFonts w:ascii="Symbol" w:hAnsi="Symbol" w:hint="default"/>
      </w:rPr>
    </w:lvl>
    <w:lvl w:ilvl="7" w:tplc="2702D05A" w:tentative="1">
      <w:start w:val="1"/>
      <w:numFmt w:val="bullet"/>
      <w:lvlText w:val="o"/>
      <w:lvlJc w:val="left"/>
      <w:pPr>
        <w:ind w:left="5760" w:hanging="360"/>
      </w:pPr>
      <w:rPr>
        <w:rFonts w:ascii="Courier New" w:hAnsi="Courier New" w:cs="Courier New" w:hint="default"/>
      </w:rPr>
    </w:lvl>
    <w:lvl w:ilvl="8" w:tplc="B1BE4E1C"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1BDAD9C4">
      <w:start w:val="1"/>
      <w:numFmt w:val="bullet"/>
      <w:lvlText w:val=""/>
      <w:lvlJc w:val="left"/>
      <w:pPr>
        <w:ind w:left="180" w:hanging="360"/>
      </w:pPr>
      <w:rPr>
        <w:rFonts w:ascii="Symbol" w:hAnsi="Symbol" w:hint="default"/>
      </w:rPr>
    </w:lvl>
    <w:lvl w:ilvl="1" w:tplc="ABCE7B60" w:tentative="1">
      <w:start w:val="1"/>
      <w:numFmt w:val="bullet"/>
      <w:lvlText w:val="o"/>
      <w:lvlJc w:val="left"/>
      <w:pPr>
        <w:ind w:left="900" w:hanging="360"/>
      </w:pPr>
      <w:rPr>
        <w:rFonts w:ascii="Courier New" w:hAnsi="Courier New" w:cs="Courier New" w:hint="default"/>
      </w:rPr>
    </w:lvl>
    <w:lvl w:ilvl="2" w:tplc="82625CE6" w:tentative="1">
      <w:start w:val="1"/>
      <w:numFmt w:val="bullet"/>
      <w:lvlText w:val=""/>
      <w:lvlJc w:val="left"/>
      <w:pPr>
        <w:ind w:left="1620" w:hanging="360"/>
      </w:pPr>
      <w:rPr>
        <w:rFonts w:ascii="Wingdings" w:hAnsi="Wingdings" w:hint="default"/>
      </w:rPr>
    </w:lvl>
    <w:lvl w:ilvl="3" w:tplc="7EEE0F26" w:tentative="1">
      <w:start w:val="1"/>
      <w:numFmt w:val="bullet"/>
      <w:lvlText w:val=""/>
      <w:lvlJc w:val="left"/>
      <w:pPr>
        <w:ind w:left="2340" w:hanging="360"/>
      </w:pPr>
      <w:rPr>
        <w:rFonts w:ascii="Symbol" w:hAnsi="Symbol" w:hint="default"/>
      </w:rPr>
    </w:lvl>
    <w:lvl w:ilvl="4" w:tplc="85B293BA" w:tentative="1">
      <w:start w:val="1"/>
      <w:numFmt w:val="bullet"/>
      <w:lvlText w:val="o"/>
      <w:lvlJc w:val="left"/>
      <w:pPr>
        <w:ind w:left="3060" w:hanging="360"/>
      </w:pPr>
      <w:rPr>
        <w:rFonts w:ascii="Courier New" w:hAnsi="Courier New" w:cs="Courier New" w:hint="default"/>
      </w:rPr>
    </w:lvl>
    <w:lvl w:ilvl="5" w:tplc="E09C53EC" w:tentative="1">
      <w:start w:val="1"/>
      <w:numFmt w:val="bullet"/>
      <w:lvlText w:val=""/>
      <w:lvlJc w:val="left"/>
      <w:pPr>
        <w:ind w:left="3780" w:hanging="360"/>
      </w:pPr>
      <w:rPr>
        <w:rFonts w:ascii="Wingdings" w:hAnsi="Wingdings" w:hint="default"/>
      </w:rPr>
    </w:lvl>
    <w:lvl w:ilvl="6" w:tplc="DE24C97A" w:tentative="1">
      <w:start w:val="1"/>
      <w:numFmt w:val="bullet"/>
      <w:lvlText w:val=""/>
      <w:lvlJc w:val="left"/>
      <w:pPr>
        <w:ind w:left="4500" w:hanging="360"/>
      </w:pPr>
      <w:rPr>
        <w:rFonts w:ascii="Symbol" w:hAnsi="Symbol" w:hint="default"/>
      </w:rPr>
    </w:lvl>
    <w:lvl w:ilvl="7" w:tplc="E5245840" w:tentative="1">
      <w:start w:val="1"/>
      <w:numFmt w:val="bullet"/>
      <w:lvlText w:val="o"/>
      <w:lvlJc w:val="left"/>
      <w:pPr>
        <w:ind w:left="5220" w:hanging="360"/>
      </w:pPr>
      <w:rPr>
        <w:rFonts w:ascii="Courier New" w:hAnsi="Courier New" w:cs="Courier New" w:hint="default"/>
      </w:rPr>
    </w:lvl>
    <w:lvl w:ilvl="8" w:tplc="FC003FD6"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D18EABB6">
      <w:start w:val="1"/>
      <w:numFmt w:val="bullet"/>
      <w:lvlText w:val=""/>
      <w:lvlJc w:val="left"/>
      <w:pPr>
        <w:ind w:left="720" w:hanging="360"/>
      </w:pPr>
      <w:rPr>
        <w:rFonts w:ascii="Symbol" w:hAnsi="Symbol" w:hint="default"/>
      </w:rPr>
    </w:lvl>
    <w:lvl w:ilvl="1" w:tplc="F5DEDAD8" w:tentative="1">
      <w:start w:val="1"/>
      <w:numFmt w:val="bullet"/>
      <w:lvlText w:val="o"/>
      <w:lvlJc w:val="left"/>
      <w:pPr>
        <w:ind w:left="1440" w:hanging="360"/>
      </w:pPr>
      <w:rPr>
        <w:rFonts w:ascii="Courier New" w:hAnsi="Courier New" w:cs="Courier New" w:hint="default"/>
      </w:rPr>
    </w:lvl>
    <w:lvl w:ilvl="2" w:tplc="13482FEC" w:tentative="1">
      <w:start w:val="1"/>
      <w:numFmt w:val="bullet"/>
      <w:lvlText w:val=""/>
      <w:lvlJc w:val="left"/>
      <w:pPr>
        <w:ind w:left="2160" w:hanging="360"/>
      </w:pPr>
      <w:rPr>
        <w:rFonts w:ascii="Wingdings" w:hAnsi="Wingdings" w:hint="default"/>
      </w:rPr>
    </w:lvl>
    <w:lvl w:ilvl="3" w:tplc="C7DCBD1A" w:tentative="1">
      <w:start w:val="1"/>
      <w:numFmt w:val="bullet"/>
      <w:lvlText w:val=""/>
      <w:lvlJc w:val="left"/>
      <w:pPr>
        <w:ind w:left="2880" w:hanging="360"/>
      </w:pPr>
      <w:rPr>
        <w:rFonts w:ascii="Symbol" w:hAnsi="Symbol" w:hint="default"/>
      </w:rPr>
    </w:lvl>
    <w:lvl w:ilvl="4" w:tplc="31CCE836" w:tentative="1">
      <w:start w:val="1"/>
      <w:numFmt w:val="bullet"/>
      <w:lvlText w:val="o"/>
      <w:lvlJc w:val="left"/>
      <w:pPr>
        <w:ind w:left="3600" w:hanging="360"/>
      </w:pPr>
      <w:rPr>
        <w:rFonts w:ascii="Courier New" w:hAnsi="Courier New" w:cs="Courier New" w:hint="default"/>
      </w:rPr>
    </w:lvl>
    <w:lvl w:ilvl="5" w:tplc="F99C7684" w:tentative="1">
      <w:start w:val="1"/>
      <w:numFmt w:val="bullet"/>
      <w:lvlText w:val=""/>
      <w:lvlJc w:val="left"/>
      <w:pPr>
        <w:ind w:left="4320" w:hanging="360"/>
      </w:pPr>
      <w:rPr>
        <w:rFonts w:ascii="Wingdings" w:hAnsi="Wingdings" w:hint="default"/>
      </w:rPr>
    </w:lvl>
    <w:lvl w:ilvl="6" w:tplc="3CCCC70E" w:tentative="1">
      <w:start w:val="1"/>
      <w:numFmt w:val="bullet"/>
      <w:lvlText w:val=""/>
      <w:lvlJc w:val="left"/>
      <w:pPr>
        <w:ind w:left="5040" w:hanging="360"/>
      </w:pPr>
      <w:rPr>
        <w:rFonts w:ascii="Symbol" w:hAnsi="Symbol" w:hint="default"/>
      </w:rPr>
    </w:lvl>
    <w:lvl w:ilvl="7" w:tplc="0AE2FD2C" w:tentative="1">
      <w:start w:val="1"/>
      <w:numFmt w:val="bullet"/>
      <w:lvlText w:val="o"/>
      <w:lvlJc w:val="left"/>
      <w:pPr>
        <w:ind w:left="5760" w:hanging="360"/>
      </w:pPr>
      <w:rPr>
        <w:rFonts w:ascii="Courier New" w:hAnsi="Courier New" w:cs="Courier New" w:hint="default"/>
      </w:rPr>
    </w:lvl>
    <w:lvl w:ilvl="8" w:tplc="1994B898"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B88ED842">
      <w:start w:val="1"/>
      <w:numFmt w:val="bullet"/>
      <w:lvlText w:val=""/>
      <w:lvlJc w:val="left"/>
      <w:pPr>
        <w:ind w:left="180" w:hanging="360"/>
      </w:pPr>
      <w:rPr>
        <w:rFonts w:ascii="Symbol" w:hAnsi="Symbol" w:hint="default"/>
      </w:rPr>
    </w:lvl>
    <w:lvl w:ilvl="1" w:tplc="F4D06BD8" w:tentative="1">
      <w:start w:val="1"/>
      <w:numFmt w:val="bullet"/>
      <w:lvlText w:val="o"/>
      <w:lvlJc w:val="left"/>
      <w:pPr>
        <w:ind w:left="900" w:hanging="360"/>
      </w:pPr>
      <w:rPr>
        <w:rFonts w:ascii="Courier New" w:hAnsi="Courier New" w:cs="Courier New" w:hint="default"/>
      </w:rPr>
    </w:lvl>
    <w:lvl w:ilvl="2" w:tplc="D8246458" w:tentative="1">
      <w:start w:val="1"/>
      <w:numFmt w:val="bullet"/>
      <w:lvlText w:val=""/>
      <w:lvlJc w:val="left"/>
      <w:pPr>
        <w:ind w:left="1620" w:hanging="360"/>
      </w:pPr>
      <w:rPr>
        <w:rFonts w:ascii="Wingdings" w:hAnsi="Wingdings" w:hint="default"/>
      </w:rPr>
    </w:lvl>
    <w:lvl w:ilvl="3" w:tplc="E4344254" w:tentative="1">
      <w:start w:val="1"/>
      <w:numFmt w:val="bullet"/>
      <w:lvlText w:val=""/>
      <w:lvlJc w:val="left"/>
      <w:pPr>
        <w:ind w:left="2340" w:hanging="360"/>
      </w:pPr>
      <w:rPr>
        <w:rFonts w:ascii="Symbol" w:hAnsi="Symbol" w:hint="default"/>
      </w:rPr>
    </w:lvl>
    <w:lvl w:ilvl="4" w:tplc="08A28764" w:tentative="1">
      <w:start w:val="1"/>
      <w:numFmt w:val="bullet"/>
      <w:lvlText w:val="o"/>
      <w:lvlJc w:val="left"/>
      <w:pPr>
        <w:ind w:left="3060" w:hanging="360"/>
      </w:pPr>
      <w:rPr>
        <w:rFonts w:ascii="Courier New" w:hAnsi="Courier New" w:cs="Courier New" w:hint="default"/>
      </w:rPr>
    </w:lvl>
    <w:lvl w:ilvl="5" w:tplc="716A8F8E" w:tentative="1">
      <w:start w:val="1"/>
      <w:numFmt w:val="bullet"/>
      <w:lvlText w:val=""/>
      <w:lvlJc w:val="left"/>
      <w:pPr>
        <w:ind w:left="3780" w:hanging="360"/>
      </w:pPr>
      <w:rPr>
        <w:rFonts w:ascii="Wingdings" w:hAnsi="Wingdings" w:hint="default"/>
      </w:rPr>
    </w:lvl>
    <w:lvl w:ilvl="6" w:tplc="A6E64BE2" w:tentative="1">
      <w:start w:val="1"/>
      <w:numFmt w:val="bullet"/>
      <w:lvlText w:val=""/>
      <w:lvlJc w:val="left"/>
      <w:pPr>
        <w:ind w:left="4500" w:hanging="360"/>
      </w:pPr>
      <w:rPr>
        <w:rFonts w:ascii="Symbol" w:hAnsi="Symbol" w:hint="default"/>
      </w:rPr>
    </w:lvl>
    <w:lvl w:ilvl="7" w:tplc="A9A0E59A" w:tentative="1">
      <w:start w:val="1"/>
      <w:numFmt w:val="bullet"/>
      <w:lvlText w:val="o"/>
      <w:lvlJc w:val="left"/>
      <w:pPr>
        <w:ind w:left="5220" w:hanging="360"/>
      </w:pPr>
      <w:rPr>
        <w:rFonts w:ascii="Courier New" w:hAnsi="Courier New" w:cs="Courier New" w:hint="default"/>
      </w:rPr>
    </w:lvl>
    <w:lvl w:ilvl="8" w:tplc="F55EA906"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D32CB8E6">
      <w:start w:val="1"/>
      <w:numFmt w:val="bullet"/>
      <w:lvlText w:val=""/>
      <w:lvlJc w:val="left"/>
      <w:pPr>
        <w:ind w:left="720" w:hanging="360"/>
      </w:pPr>
      <w:rPr>
        <w:rFonts w:ascii="Symbol" w:hAnsi="Symbol" w:hint="default"/>
      </w:rPr>
    </w:lvl>
    <w:lvl w:ilvl="1" w:tplc="CBCCCBEA" w:tentative="1">
      <w:start w:val="1"/>
      <w:numFmt w:val="bullet"/>
      <w:lvlText w:val="o"/>
      <w:lvlJc w:val="left"/>
      <w:pPr>
        <w:ind w:left="1440" w:hanging="360"/>
      </w:pPr>
      <w:rPr>
        <w:rFonts w:ascii="Courier New" w:hAnsi="Courier New" w:cs="Courier New" w:hint="default"/>
      </w:rPr>
    </w:lvl>
    <w:lvl w:ilvl="2" w:tplc="62A61A24" w:tentative="1">
      <w:start w:val="1"/>
      <w:numFmt w:val="bullet"/>
      <w:lvlText w:val=""/>
      <w:lvlJc w:val="left"/>
      <w:pPr>
        <w:ind w:left="2160" w:hanging="360"/>
      </w:pPr>
      <w:rPr>
        <w:rFonts w:ascii="Wingdings" w:hAnsi="Wingdings" w:hint="default"/>
      </w:rPr>
    </w:lvl>
    <w:lvl w:ilvl="3" w:tplc="427AB546" w:tentative="1">
      <w:start w:val="1"/>
      <w:numFmt w:val="bullet"/>
      <w:lvlText w:val=""/>
      <w:lvlJc w:val="left"/>
      <w:pPr>
        <w:ind w:left="2880" w:hanging="360"/>
      </w:pPr>
      <w:rPr>
        <w:rFonts w:ascii="Symbol" w:hAnsi="Symbol" w:hint="default"/>
      </w:rPr>
    </w:lvl>
    <w:lvl w:ilvl="4" w:tplc="CB203E54" w:tentative="1">
      <w:start w:val="1"/>
      <w:numFmt w:val="bullet"/>
      <w:lvlText w:val="o"/>
      <w:lvlJc w:val="left"/>
      <w:pPr>
        <w:ind w:left="3600" w:hanging="360"/>
      </w:pPr>
      <w:rPr>
        <w:rFonts w:ascii="Courier New" w:hAnsi="Courier New" w:cs="Courier New" w:hint="default"/>
      </w:rPr>
    </w:lvl>
    <w:lvl w:ilvl="5" w:tplc="B0FE8F9A" w:tentative="1">
      <w:start w:val="1"/>
      <w:numFmt w:val="bullet"/>
      <w:lvlText w:val=""/>
      <w:lvlJc w:val="left"/>
      <w:pPr>
        <w:ind w:left="4320" w:hanging="360"/>
      </w:pPr>
      <w:rPr>
        <w:rFonts w:ascii="Wingdings" w:hAnsi="Wingdings" w:hint="default"/>
      </w:rPr>
    </w:lvl>
    <w:lvl w:ilvl="6" w:tplc="734CB140" w:tentative="1">
      <w:start w:val="1"/>
      <w:numFmt w:val="bullet"/>
      <w:lvlText w:val=""/>
      <w:lvlJc w:val="left"/>
      <w:pPr>
        <w:ind w:left="5040" w:hanging="360"/>
      </w:pPr>
      <w:rPr>
        <w:rFonts w:ascii="Symbol" w:hAnsi="Symbol" w:hint="default"/>
      </w:rPr>
    </w:lvl>
    <w:lvl w:ilvl="7" w:tplc="83084A98" w:tentative="1">
      <w:start w:val="1"/>
      <w:numFmt w:val="bullet"/>
      <w:lvlText w:val="o"/>
      <w:lvlJc w:val="left"/>
      <w:pPr>
        <w:ind w:left="5760" w:hanging="360"/>
      </w:pPr>
      <w:rPr>
        <w:rFonts w:ascii="Courier New" w:hAnsi="Courier New" w:cs="Courier New" w:hint="default"/>
      </w:rPr>
    </w:lvl>
    <w:lvl w:ilvl="8" w:tplc="281AD546"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78CCCB6C"/>
    <w:lvl w:ilvl="0" w:tplc="A696582C">
      <w:numFmt w:val="bullet"/>
      <w:lvlText w:val="•"/>
      <w:lvlJc w:val="left"/>
      <w:pPr>
        <w:ind w:left="1080" w:hanging="720"/>
      </w:pPr>
      <w:rPr>
        <w:rFonts w:ascii="Arial" w:eastAsiaTheme="minorEastAsia" w:hAnsi="Arial" w:cs="Arial" w:hint="default"/>
      </w:rPr>
    </w:lvl>
    <w:lvl w:ilvl="1" w:tplc="E1D07CC6" w:tentative="1">
      <w:start w:val="1"/>
      <w:numFmt w:val="bullet"/>
      <w:lvlText w:val="o"/>
      <w:lvlJc w:val="left"/>
      <w:pPr>
        <w:ind w:left="1440" w:hanging="360"/>
      </w:pPr>
      <w:rPr>
        <w:rFonts w:ascii="Courier New" w:hAnsi="Courier New" w:cs="Courier New" w:hint="default"/>
      </w:rPr>
    </w:lvl>
    <w:lvl w:ilvl="2" w:tplc="3F9CAE94" w:tentative="1">
      <w:start w:val="1"/>
      <w:numFmt w:val="bullet"/>
      <w:lvlText w:val=""/>
      <w:lvlJc w:val="left"/>
      <w:pPr>
        <w:ind w:left="2160" w:hanging="360"/>
      </w:pPr>
      <w:rPr>
        <w:rFonts w:ascii="Wingdings" w:hAnsi="Wingdings" w:hint="default"/>
      </w:rPr>
    </w:lvl>
    <w:lvl w:ilvl="3" w:tplc="000AEA70" w:tentative="1">
      <w:start w:val="1"/>
      <w:numFmt w:val="bullet"/>
      <w:lvlText w:val=""/>
      <w:lvlJc w:val="left"/>
      <w:pPr>
        <w:ind w:left="2880" w:hanging="360"/>
      </w:pPr>
      <w:rPr>
        <w:rFonts w:ascii="Symbol" w:hAnsi="Symbol" w:hint="default"/>
      </w:rPr>
    </w:lvl>
    <w:lvl w:ilvl="4" w:tplc="692898F8" w:tentative="1">
      <w:start w:val="1"/>
      <w:numFmt w:val="bullet"/>
      <w:lvlText w:val="o"/>
      <w:lvlJc w:val="left"/>
      <w:pPr>
        <w:ind w:left="3600" w:hanging="360"/>
      </w:pPr>
      <w:rPr>
        <w:rFonts w:ascii="Courier New" w:hAnsi="Courier New" w:cs="Courier New" w:hint="default"/>
      </w:rPr>
    </w:lvl>
    <w:lvl w:ilvl="5" w:tplc="DED4F7CA" w:tentative="1">
      <w:start w:val="1"/>
      <w:numFmt w:val="bullet"/>
      <w:lvlText w:val=""/>
      <w:lvlJc w:val="left"/>
      <w:pPr>
        <w:ind w:left="4320" w:hanging="360"/>
      </w:pPr>
      <w:rPr>
        <w:rFonts w:ascii="Wingdings" w:hAnsi="Wingdings" w:hint="default"/>
      </w:rPr>
    </w:lvl>
    <w:lvl w:ilvl="6" w:tplc="9B5200F8" w:tentative="1">
      <w:start w:val="1"/>
      <w:numFmt w:val="bullet"/>
      <w:lvlText w:val=""/>
      <w:lvlJc w:val="left"/>
      <w:pPr>
        <w:ind w:left="5040" w:hanging="360"/>
      </w:pPr>
      <w:rPr>
        <w:rFonts w:ascii="Symbol" w:hAnsi="Symbol" w:hint="default"/>
      </w:rPr>
    </w:lvl>
    <w:lvl w:ilvl="7" w:tplc="652E34F6" w:tentative="1">
      <w:start w:val="1"/>
      <w:numFmt w:val="bullet"/>
      <w:lvlText w:val="o"/>
      <w:lvlJc w:val="left"/>
      <w:pPr>
        <w:ind w:left="5760" w:hanging="360"/>
      </w:pPr>
      <w:rPr>
        <w:rFonts w:ascii="Courier New" w:hAnsi="Courier New" w:cs="Courier New" w:hint="default"/>
      </w:rPr>
    </w:lvl>
    <w:lvl w:ilvl="8" w:tplc="5290C928" w:tentative="1">
      <w:start w:val="1"/>
      <w:numFmt w:val="bullet"/>
      <w:lvlText w:val=""/>
      <w:lvlJc w:val="left"/>
      <w:pPr>
        <w:ind w:left="6480" w:hanging="360"/>
      </w:pPr>
      <w:rPr>
        <w:rFonts w:ascii="Wingdings" w:hAnsi="Wingdings" w:hint="default"/>
      </w:rPr>
    </w:lvl>
  </w:abstractNum>
  <w:abstractNum w:abstractNumId="27" w15:restartNumberingAfterBreak="0">
    <w:nsid w:val="7FCB6DE2"/>
    <w:multiLevelType w:val="hybridMultilevel"/>
    <w:tmpl w:val="0D76C286"/>
    <w:lvl w:ilvl="0" w:tplc="D548C106">
      <w:start w:val="1"/>
      <w:numFmt w:val="decimal"/>
      <w:lvlText w:val="%1."/>
      <w:lvlJc w:val="left"/>
      <w:pPr>
        <w:ind w:left="360" w:hanging="360"/>
      </w:pPr>
    </w:lvl>
    <w:lvl w:ilvl="1" w:tplc="AE8E1B30" w:tentative="1">
      <w:start w:val="1"/>
      <w:numFmt w:val="lowerLetter"/>
      <w:lvlText w:val="%2."/>
      <w:lvlJc w:val="left"/>
      <w:pPr>
        <w:ind w:left="1080" w:hanging="360"/>
      </w:pPr>
    </w:lvl>
    <w:lvl w:ilvl="2" w:tplc="3FA88340" w:tentative="1">
      <w:start w:val="1"/>
      <w:numFmt w:val="lowerRoman"/>
      <w:lvlText w:val="%3."/>
      <w:lvlJc w:val="right"/>
      <w:pPr>
        <w:ind w:left="1800" w:hanging="180"/>
      </w:pPr>
    </w:lvl>
    <w:lvl w:ilvl="3" w:tplc="D786E716" w:tentative="1">
      <w:start w:val="1"/>
      <w:numFmt w:val="decimal"/>
      <w:lvlText w:val="%4."/>
      <w:lvlJc w:val="left"/>
      <w:pPr>
        <w:ind w:left="2520" w:hanging="360"/>
      </w:pPr>
    </w:lvl>
    <w:lvl w:ilvl="4" w:tplc="D334074C" w:tentative="1">
      <w:start w:val="1"/>
      <w:numFmt w:val="lowerLetter"/>
      <w:lvlText w:val="%5."/>
      <w:lvlJc w:val="left"/>
      <w:pPr>
        <w:ind w:left="3240" w:hanging="360"/>
      </w:pPr>
    </w:lvl>
    <w:lvl w:ilvl="5" w:tplc="5B3680C4" w:tentative="1">
      <w:start w:val="1"/>
      <w:numFmt w:val="lowerRoman"/>
      <w:lvlText w:val="%6."/>
      <w:lvlJc w:val="right"/>
      <w:pPr>
        <w:ind w:left="3960" w:hanging="180"/>
      </w:pPr>
    </w:lvl>
    <w:lvl w:ilvl="6" w:tplc="7F72A6BA" w:tentative="1">
      <w:start w:val="1"/>
      <w:numFmt w:val="decimal"/>
      <w:lvlText w:val="%7."/>
      <w:lvlJc w:val="left"/>
      <w:pPr>
        <w:ind w:left="4680" w:hanging="360"/>
      </w:pPr>
    </w:lvl>
    <w:lvl w:ilvl="7" w:tplc="A4F28962" w:tentative="1">
      <w:start w:val="1"/>
      <w:numFmt w:val="lowerLetter"/>
      <w:lvlText w:val="%8."/>
      <w:lvlJc w:val="left"/>
      <w:pPr>
        <w:ind w:left="5400" w:hanging="360"/>
      </w:pPr>
    </w:lvl>
    <w:lvl w:ilvl="8" w:tplc="E5E66BBE" w:tentative="1">
      <w:start w:val="1"/>
      <w:numFmt w:val="lowerRoman"/>
      <w:lvlText w:val="%9."/>
      <w:lvlJc w:val="right"/>
      <w:pPr>
        <w:ind w:left="6120" w:hanging="180"/>
      </w:pPr>
    </w:lvl>
  </w:abstractNum>
  <w:abstractNum w:abstractNumId="28" w15:restartNumberingAfterBreak="0">
    <w:nsid w:val="7FCB6DE3"/>
    <w:multiLevelType w:val="hybridMultilevel"/>
    <w:tmpl w:val="BDA61AAC"/>
    <w:lvl w:ilvl="0" w:tplc="4E023A22">
      <w:start w:val="1"/>
      <w:numFmt w:val="bullet"/>
      <w:lvlText w:val=""/>
      <w:lvlJc w:val="left"/>
      <w:pPr>
        <w:ind w:left="720" w:hanging="360"/>
      </w:pPr>
      <w:rPr>
        <w:rFonts w:ascii="Symbol" w:hAnsi="Symbol" w:hint="default"/>
      </w:rPr>
    </w:lvl>
    <w:lvl w:ilvl="1" w:tplc="AD9EF484">
      <w:start w:val="1"/>
      <w:numFmt w:val="bullet"/>
      <w:lvlText w:val="o"/>
      <w:lvlJc w:val="left"/>
      <w:pPr>
        <w:ind w:left="1440" w:hanging="360"/>
      </w:pPr>
      <w:rPr>
        <w:rFonts w:ascii="Courier New" w:hAnsi="Courier New" w:cs="Courier New" w:hint="default"/>
      </w:rPr>
    </w:lvl>
    <w:lvl w:ilvl="2" w:tplc="376A4C7E" w:tentative="1">
      <w:start w:val="1"/>
      <w:numFmt w:val="bullet"/>
      <w:lvlText w:val=""/>
      <w:lvlJc w:val="left"/>
      <w:pPr>
        <w:ind w:left="2160" w:hanging="360"/>
      </w:pPr>
      <w:rPr>
        <w:rFonts w:ascii="Wingdings" w:hAnsi="Wingdings" w:hint="default"/>
      </w:rPr>
    </w:lvl>
    <w:lvl w:ilvl="3" w:tplc="EDCA217E" w:tentative="1">
      <w:start w:val="1"/>
      <w:numFmt w:val="bullet"/>
      <w:lvlText w:val=""/>
      <w:lvlJc w:val="left"/>
      <w:pPr>
        <w:ind w:left="2880" w:hanging="360"/>
      </w:pPr>
      <w:rPr>
        <w:rFonts w:ascii="Symbol" w:hAnsi="Symbol" w:hint="default"/>
      </w:rPr>
    </w:lvl>
    <w:lvl w:ilvl="4" w:tplc="4F5E5066" w:tentative="1">
      <w:start w:val="1"/>
      <w:numFmt w:val="bullet"/>
      <w:lvlText w:val="o"/>
      <w:lvlJc w:val="left"/>
      <w:pPr>
        <w:ind w:left="3600" w:hanging="360"/>
      </w:pPr>
      <w:rPr>
        <w:rFonts w:ascii="Courier New" w:hAnsi="Courier New" w:cs="Courier New" w:hint="default"/>
      </w:rPr>
    </w:lvl>
    <w:lvl w:ilvl="5" w:tplc="DCAA01F6" w:tentative="1">
      <w:start w:val="1"/>
      <w:numFmt w:val="bullet"/>
      <w:lvlText w:val=""/>
      <w:lvlJc w:val="left"/>
      <w:pPr>
        <w:ind w:left="4320" w:hanging="360"/>
      </w:pPr>
      <w:rPr>
        <w:rFonts w:ascii="Wingdings" w:hAnsi="Wingdings" w:hint="default"/>
      </w:rPr>
    </w:lvl>
    <w:lvl w:ilvl="6" w:tplc="81122BD6" w:tentative="1">
      <w:start w:val="1"/>
      <w:numFmt w:val="bullet"/>
      <w:lvlText w:val=""/>
      <w:lvlJc w:val="left"/>
      <w:pPr>
        <w:ind w:left="5040" w:hanging="360"/>
      </w:pPr>
      <w:rPr>
        <w:rFonts w:ascii="Symbol" w:hAnsi="Symbol" w:hint="default"/>
      </w:rPr>
    </w:lvl>
    <w:lvl w:ilvl="7" w:tplc="12DE2EC2" w:tentative="1">
      <w:start w:val="1"/>
      <w:numFmt w:val="bullet"/>
      <w:lvlText w:val="o"/>
      <w:lvlJc w:val="left"/>
      <w:pPr>
        <w:ind w:left="5760" w:hanging="360"/>
      </w:pPr>
      <w:rPr>
        <w:rFonts w:ascii="Courier New" w:hAnsi="Courier New" w:cs="Courier New" w:hint="default"/>
      </w:rPr>
    </w:lvl>
    <w:lvl w:ilvl="8" w:tplc="164EF01C" w:tentative="1">
      <w:start w:val="1"/>
      <w:numFmt w:val="bullet"/>
      <w:lvlText w:val=""/>
      <w:lvlJc w:val="left"/>
      <w:pPr>
        <w:ind w:left="6480" w:hanging="360"/>
      </w:pPr>
      <w:rPr>
        <w:rFonts w:ascii="Wingdings" w:hAnsi="Wingdings" w:hint="default"/>
      </w:rPr>
    </w:lvl>
  </w:abstractNum>
  <w:abstractNum w:abstractNumId="29" w15:restartNumberingAfterBreak="0">
    <w:nsid w:val="7FCB6DE4"/>
    <w:multiLevelType w:val="hybridMultilevel"/>
    <w:tmpl w:val="5E7875AC"/>
    <w:lvl w:ilvl="0" w:tplc="0E703460">
      <w:numFmt w:val="bullet"/>
      <w:lvlText w:val="-"/>
      <w:lvlJc w:val="left"/>
      <w:pPr>
        <w:ind w:left="1440" w:hanging="360"/>
      </w:pPr>
      <w:rPr>
        <w:rFonts w:ascii="Arial" w:eastAsia="Arial" w:hAnsi="Arial" w:cs="Arial" w:hint="default"/>
      </w:rPr>
    </w:lvl>
    <w:lvl w:ilvl="1" w:tplc="9C423616">
      <w:start w:val="1"/>
      <w:numFmt w:val="bullet"/>
      <w:lvlText w:val="o"/>
      <w:lvlJc w:val="left"/>
      <w:pPr>
        <w:ind w:left="2160" w:hanging="360"/>
      </w:pPr>
      <w:rPr>
        <w:rFonts w:ascii="Courier New" w:hAnsi="Courier New" w:cs="Courier New" w:hint="default"/>
      </w:rPr>
    </w:lvl>
    <w:lvl w:ilvl="2" w:tplc="4CD024F2" w:tentative="1">
      <w:start w:val="1"/>
      <w:numFmt w:val="bullet"/>
      <w:lvlText w:val=""/>
      <w:lvlJc w:val="left"/>
      <w:pPr>
        <w:ind w:left="2880" w:hanging="360"/>
      </w:pPr>
      <w:rPr>
        <w:rFonts w:ascii="Wingdings" w:hAnsi="Wingdings" w:hint="default"/>
      </w:rPr>
    </w:lvl>
    <w:lvl w:ilvl="3" w:tplc="A1BAE832" w:tentative="1">
      <w:start w:val="1"/>
      <w:numFmt w:val="bullet"/>
      <w:lvlText w:val=""/>
      <w:lvlJc w:val="left"/>
      <w:pPr>
        <w:ind w:left="3600" w:hanging="360"/>
      </w:pPr>
      <w:rPr>
        <w:rFonts w:ascii="Symbol" w:hAnsi="Symbol" w:hint="default"/>
      </w:rPr>
    </w:lvl>
    <w:lvl w:ilvl="4" w:tplc="8C505456" w:tentative="1">
      <w:start w:val="1"/>
      <w:numFmt w:val="bullet"/>
      <w:lvlText w:val="o"/>
      <w:lvlJc w:val="left"/>
      <w:pPr>
        <w:ind w:left="4320" w:hanging="360"/>
      </w:pPr>
      <w:rPr>
        <w:rFonts w:ascii="Courier New" w:hAnsi="Courier New" w:cs="Courier New" w:hint="default"/>
      </w:rPr>
    </w:lvl>
    <w:lvl w:ilvl="5" w:tplc="D93A4680" w:tentative="1">
      <w:start w:val="1"/>
      <w:numFmt w:val="bullet"/>
      <w:lvlText w:val=""/>
      <w:lvlJc w:val="left"/>
      <w:pPr>
        <w:ind w:left="5040" w:hanging="360"/>
      </w:pPr>
      <w:rPr>
        <w:rFonts w:ascii="Wingdings" w:hAnsi="Wingdings" w:hint="default"/>
      </w:rPr>
    </w:lvl>
    <w:lvl w:ilvl="6" w:tplc="157EFCC8" w:tentative="1">
      <w:start w:val="1"/>
      <w:numFmt w:val="bullet"/>
      <w:lvlText w:val=""/>
      <w:lvlJc w:val="left"/>
      <w:pPr>
        <w:ind w:left="5760" w:hanging="360"/>
      </w:pPr>
      <w:rPr>
        <w:rFonts w:ascii="Symbol" w:hAnsi="Symbol" w:hint="default"/>
      </w:rPr>
    </w:lvl>
    <w:lvl w:ilvl="7" w:tplc="49B4D4C8" w:tentative="1">
      <w:start w:val="1"/>
      <w:numFmt w:val="bullet"/>
      <w:lvlText w:val="o"/>
      <w:lvlJc w:val="left"/>
      <w:pPr>
        <w:ind w:left="6480" w:hanging="360"/>
      </w:pPr>
      <w:rPr>
        <w:rFonts w:ascii="Courier New" w:hAnsi="Courier New" w:cs="Courier New" w:hint="default"/>
      </w:rPr>
    </w:lvl>
    <w:lvl w:ilvl="8" w:tplc="740088A0" w:tentative="1">
      <w:start w:val="1"/>
      <w:numFmt w:val="bullet"/>
      <w:lvlText w:val=""/>
      <w:lvlJc w:val="left"/>
      <w:pPr>
        <w:ind w:left="7200" w:hanging="360"/>
      </w:pPr>
      <w:rPr>
        <w:rFonts w:ascii="Wingdings" w:hAnsi="Wingdings" w:hint="default"/>
      </w:rPr>
    </w:lvl>
  </w:abstractNum>
  <w:abstractNum w:abstractNumId="30" w15:restartNumberingAfterBreak="0">
    <w:nsid w:val="7FCB6DE5"/>
    <w:multiLevelType w:val="hybridMultilevel"/>
    <w:tmpl w:val="8DB4C5EC"/>
    <w:lvl w:ilvl="0" w:tplc="E174E302">
      <w:start w:val="1"/>
      <w:numFmt w:val="bullet"/>
      <w:lvlText w:val=""/>
      <w:lvlJc w:val="left"/>
      <w:pPr>
        <w:ind w:left="720" w:hanging="360"/>
      </w:pPr>
      <w:rPr>
        <w:rFonts w:ascii="Symbol" w:hAnsi="Symbol" w:hint="default"/>
      </w:rPr>
    </w:lvl>
    <w:lvl w:ilvl="1" w:tplc="3F4CCA80">
      <w:start w:val="1"/>
      <w:numFmt w:val="bullet"/>
      <w:lvlText w:val="o"/>
      <w:lvlJc w:val="left"/>
      <w:pPr>
        <w:ind w:left="1440" w:hanging="360"/>
      </w:pPr>
      <w:rPr>
        <w:rFonts w:ascii="Courier New" w:hAnsi="Courier New" w:cs="Courier New" w:hint="default"/>
      </w:rPr>
    </w:lvl>
    <w:lvl w:ilvl="2" w:tplc="2B502776" w:tentative="1">
      <w:start w:val="1"/>
      <w:numFmt w:val="bullet"/>
      <w:lvlText w:val=""/>
      <w:lvlJc w:val="left"/>
      <w:pPr>
        <w:ind w:left="2160" w:hanging="360"/>
      </w:pPr>
      <w:rPr>
        <w:rFonts w:ascii="Wingdings" w:hAnsi="Wingdings" w:hint="default"/>
      </w:rPr>
    </w:lvl>
    <w:lvl w:ilvl="3" w:tplc="5DB67AB2" w:tentative="1">
      <w:start w:val="1"/>
      <w:numFmt w:val="bullet"/>
      <w:lvlText w:val=""/>
      <w:lvlJc w:val="left"/>
      <w:pPr>
        <w:ind w:left="2880" w:hanging="360"/>
      </w:pPr>
      <w:rPr>
        <w:rFonts w:ascii="Symbol" w:hAnsi="Symbol" w:hint="default"/>
      </w:rPr>
    </w:lvl>
    <w:lvl w:ilvl="4" w:tplc="7A3A6824" w:tentative="1">
      <w:start w:val="1"/>
      <w:numFmt w:val="bullet"/>
      <w:lvlText w:val="o"/>
      <w:lvlJc w:val="left"/>
      <w:pPr>
        <w:ind w:left="3600" w:hanging="360"/>
      </w:pPr>
      <w:rPr>
        <w:rFonts w:ascii="Courier New" w:hAnsi="Courier New" w:cs="Courier New" w:hint="default"/>
      </w:rPr>
    </w:lvl>
    <w:lvl w:ilvl="5" w:tplc="CB448C68" w:tentative="1">
      <w:start w:val="1"/>
      <w:numFmt w:val="bullet"/>
      <w:lvlText w:val=""/>
      <w:lvlJc w:val="left"/>
      <w:pPr>
        <w:ind w:left="4320" w:hanging="360"/>
      </w:pPr>
      <w:rPr>
        <w:rFonts w:ascii="Wingdings" w:hAnsi="Wingdings" w:hint="default"/>
      </w:rPr>
    </w:lvl>
    <w:lvl w:ilvl="6" w:tplc="07547B9C" w:tentative="1">
      <w:start w:val="1"/>
      <w:numFmt w:val="bullet"/>
      <w:lvlText w:val=""/>
      <w:lvlJc w:val="left"/>
      <w:pPr>
        <w:ind w:left="5040" w:hanging="360"/>
      </w:pPr>
      <w:rPr>
        <w:rFonts w:ascii="Symbol" w:hAnsi="Symbol" w:hint="default"/>
      </w:rPr>
    </w:lvl>
    <w:lvl w:ilvl="7" w:tplc="B480FF2E" w:tentative="1">
      <w:start w:val="1"/>
      <w:numFmt w:val="bullet"/>
      <w:lvlText w:val="o"/>
      <w:lvlJc w:val="left"/>
      <w:pPr>
        <w:ind w:left="5760" w:hanging="360"/>
      </w:pPr>
      <w:rPr>
        <w:rFonts w:ascii="Courier New" w:hAnsi="Courier New" w:cs="Courier New" w:hint="default"/>
      </w:rPr>
    </w:lvl>
    <w:lvl w:ilvl="8" w:tplc="42680550" w:tentative="1">
      <w:start w:val="1"/>
      <w:numFmt w:val="bullet"/>
      <w:lvlText w:val=""/>
      <w:lvlJc w:val="left"/>
      <w:pPr>
        <w:ind w:left="6480" w:hanging="360"/>
      </w:pPr>
      <w:rPr>
        <w:rFonts w:ascii="Wingdings" w:hAnsi="Wingdings" w:hint="default"/>
      </w:rPr>
    </w:lvl>
  </w:abstractNum>
  <w:abstractNum w:abstractNumId="31" w15:restartNumberingAfterBreak="0">
    <w:nsid w:val="7FCB6DE6"/>
    <w:multiLevelType w:val="hybridMultilevel"/>
    <w:tmpl w:val="A88A4F78"/>
    <w:lvl w:ilvl="0" w:tplc="5AFE1A4C">
      <w:start w:val="1"/>
      <w:numFmt w:val="bullet"/>
      <w:lvlText w:val=""/>
      <w:lvlJc w:val="left"/>
      <w:pPr>
        <w:ind w:left="720" w:hanging="360"/>
      </w:pPr>
      <w:rPr>
        <w:rFonts w:ascii="Symbol" w:hAnsi="Symbol" w:hint="default"/>
      </w:rPr>
    </w:lvl>
    <w:lvl w:ilvl="1" w:tplc="38F46780">
      <w:numFmt w:val="bullet"/>
      <w:lvlText w:val="-"/>
      <w:lvlJc w:val="left"/>
      <w:pPr>
        <w:ind w:left="1440" w:hanging="360"/>
      </w:pPr>
      <w:rPr>
        <w:rFonts w:ascii="Arial" w:eastAsia="Arial" w:hAnsi="Arial" w:cs="Arial" w:hint="default"/>
      </w:rPr>
    </w:lvl>
    <w:lvl w:ilvl="2" w:tplc="F4F89A00" w:tentative="1">
      <w:start w:val="1"/>
      <w:numFmt w:val="bullet"/>
      <w:lvlText w:val=""/>
      <w:lvlJc w:val="left"/>
      <w:pPr>
        <w:ind w:left="2160" w:hanging="360"/>
      </w:pPr>
      <w:rPr>
        <w:rFonts w:ascii="Wingdings" w:hAnsi="Wingdings" w:hint="default"/>
      </w:rPr>
    </w:lvl>
    <w:lvl w:ilvl="3" w:tplc="8C62367C" w:tentative="1">
      <w:start w:val="1"/>
      <w:numFmt w:val="bullet"/>
      <w:lvlText w:val=""/>
      <w:lvlJc w:val="left"/>
      <w:pPr>
        <w:ind w:left="2880" w:hanging="360"/>
      </w:pPr>
      <w:rPr>
        <w:rFonts w:ascii="Symbol" w:hAnsi="Symbol" w:hint="default"/>
      </w:rPr>
    </w:lvl>
    <w:lvl w:ilvl="4" w:tplc="BE4AAAC8" w:tentative="1">
      <w:start w:val="1"/>
      <w:numFmt w:val="bullet"/>
      <w:lvlText w:val="o"/>
      <w:lvlJc w:val="left"/>
      <w:pPr>
        <w:ind w:left="3600" w:hanging="360"/>
      </w:pPr>
      <w:rPr>
        <w:rFonts w:ascii="Courier New" w:hAnsi="Courier New" w:cs="Courier New" w:hint="default"/>
      </w:rPr>
    </w:lvl>
    <w:lvl w:ilvl="5" w:tplc="63202CDE" w:tentative="1">
      <w:start w:val="1"/>
      <w:numFmt w:val="bullet"/>
      <w:lvlText w:val=""/>
      <w:lvlJc w:val="left"/>
      <w:pPr>
        <w:ind w:left="4320" w:hanging="360"/>
      </w:pPr>
      <w:rPr>
        <w:rFonts w:ascii="Wingdings" w:hAnsi="Wingdings" w:hint="default"/>
      </w:rPr>
    </w:lvl>
    <w:lvl w:ilvl="6" w:tplc="CAB408E6" w:tentative="1">
      <w:start w:val="1"/>
      <w:numFmt w:val="bullet"/>
      <w:lvlText w:val=""/>
      <w:lvlJc w:val="left"/>
      <w:pPr>
        <w:ind w:left="5040" w:hanging="360"/>
      </w:pPr>
      <w:rPr>
        <w:rFonts w:ascii="Symbol" w:hAnsi="Symbol" w:hint="default"/>
      </w:rPr>
    </w:lvl>
    <w:lvl w:ilvl="7" w:tplc="C610EC9A" w:tentative="1">
      <w:start w:val="1"/>
      <w:numFmt w:val="bullet"/>
      <w:lvlText w:val="o"/>
      <w:lvlJc w:val="left"/>
      <w:pPr>
        <w:ind w:left="5760" w:hanging="360"/>
      </w:pPr>
      <w:rPr>
        <w:rFonts w:ascii="Courier New" w:hAnsi="Courier New" w:cs="Courier New" w:hint="default"/>
      </w:rPr>
    </w:lvl>
    <w:lvl w:ilvl="8" w:tplc="5C6AACA8"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9"/>
  </w:num>
  <w:num w:numId="15">
    <w:abstractNumId w:val="23"/>
  </w:num>
  <w:num w:numId="16">
    <w:abstractNumId w:val="14"/>
  </w:num>
  <w:num w:numId="17">
    <w:abstractNumId w:val="16"/>
  </w:num>
  <w:num w:numId="18">
    <w:abstractNumId w:val="24"/>
  </w:num>
  <w:num w:numId="19">
    <w:abstractNumId w:val="11"/>
  </w:num>
  <w:num w:numId="20">
    <w:abstractNumId w:val="21"/>
  </w:num>
  <w:num w:numId="21">
    <w:abstractNumId w:val="18"/>
  </w:num>
  <w:num w:numId="22">
    <w:abstractNumId w:val="22"/>
  </w:num>
  <w:num w:numId="23">
    <w:abstractNumId w:val="20"/>
  </w:num>
  <w:num w:numId="24">
    <w:abstractNumId w:val="13"/>
  </w:num>
  <w:num w:numId="25">
    <w:abstractNumId w:val="15"/>
  </w:num>
  <w:num w:numId="26">
    <w:abstractNumId w:val="17"/>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2E"/>
    <w:rsid w:val="002C6344"/>
    <w:rsid w:val="0053212E"/>
    <w:rsid w:val="00D83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684F9119"/>
  <w15:docId w15:val="{747897E7-6DAA-4AF6-B2E3-D0B73480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table" w:customStyle="1" w:styleId="GridTable2-Accent61">
    <w:name w:val="Grid Table 2 - Accent 61"/>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table" w:customStyle="1" w:styleId="GridTable2-Accent611">
    <w:name w:val="Grid Table 2 - Accent 611"/>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table" w:customStyle="1" w:styleId="GridTable2-Accent6121">
    <w:name w:val="Grid Table 2 - Accent 6121"/>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t.vic.edu.au/"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4.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t.vic.edu.au/" TargetMode="External"/><Relationship Id="rId22" Type="http://schemas.openxmlformats.org/officeDocument/2006/relationships/hyperlink" Target="file:///C:\Users\01010936\AppData\Local\Microsoft\Windows\INetCache\IE\2JVJ6MFE\www.valkstoneps.vic.edu.au" TargetMode="External"/><Relationship Id="rId27" Type="http://schemas.openxmlformats.org/officeDocument/2006/relationships/header" Target="header7.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9465DC8E-B7BC-4936-9990-AAF0911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Koolstra, Marilyn E</cp:lastModifiedBy>
  <cp:revision>3</cp:revision>
  <dcterms:created xsi:type="dcterms:W3CDTF">2020-10-28T02:27:00Z</dcterms:created>
  <dcterms:modified xsi:type="dcterms:W3CDTF">2020-10-28T02:31:00Z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